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C602BC" w14:textId="77777777" w:rsidR="00362045" w:rsidRPr="00932ED2" w:rsidRDefault="002934D7" w:rsidP="002934D7">
      <w:pPr>
        <w:ind w:right="288"/>
        <w:jc w:val="right"/>
      </w:pPr>
      <w:r w:rsidRPr="00932ED2">
        <w:rPr>
          <w:noProof/>
          <w:lang w:val="en-CA" w:eastAsia="en-CA"/>
        </w:rPr>
        <w:drawing>
          <wp:inline distT="0" distB="0" distL="0" distR="0" wp14:anchorId="40134EF2" wp14:editId="3FC868F7">
            <wp:extent cx="793750" cy="189865"/>
            <wp:effectExtent l="0" t="0" r="6350" b="635"/>
            <wp:docPr id="5" name="Picture 5" descr="Symbol of the Government of Ca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ymbol of the Government of Canada"/>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793750" cy="189865"/>
                    </a:xfrm>
                    <a:prstGeom prst="rect">
                      <a:avLst/>
                    </a:prstGeom>
                    <a:noFill/>
                    <a:ln>
                      <a:noFill/>
                    </a:ln>
                  </pic:spPr>
                </pic:pic>
              </a:graphicData>
            </a:graphic>
          </wp:inline>
        </w:drawing>
      </w:r>
      <w:r w:rsidRPr="00932ED2">
        <w:rPr>
          <w:noProof/>
          <w:sz w:val="24"/>
          <w:szCs w:val="24"/>
          <w:lang w:val="en-CA" w:eastAsia="en-CA"/>
        </w:rPr>
        <w:drawing>
          <wp:anchor distT="0" distB="0" distL="0" distR="0" simplePos="0" relativeHeight="251665408" behindDoc="0" locked="0" layoutInCell="1" allowOverlap="0" wp14:anchorId="066F9769" wp14:editId="02105C28">
            <wp:simplePos x="0" y="0"/>
            <wp:positionH relativeFrom="column">
              <wp:posOffset>144379</wp:posOffset>
            </wp:positionH>
            <wp:positionV relativeFrom="line">
              <wp:posOffset>434</wp:posOffset>
            </wp:positionV>
            <wp:extent cx="2713355" cy="189230"/>
            <wp:effectExtent l="0" t="0" r="0" b="1270"/>
            <wp:wrapSquare wrapText="bothSides"/>
            <wp:docPr id="3" name="Picture 3" descr="Canada Revenue Agen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nada Revenue Agency"/>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13355" cy="189230"/>
                    </a:xfrm>
                    <a:prstGeom prst="rect">
                      <a:avLst/>
                    </a:prstGeom>
                    <a:noFill/>
                  </pic:spPr>
                </pic:pic>
              </a:graphicData>
            </a:graphic>
            <wp14:sizeRelH relativeFrom="page">
              <wp14:pctWidth>0</wp14:pctWidth>
            </wp14:sizeRelH>
            <wp14:sizeRelV relativeFrom="page">
              <wp14:pctHeight>0</wp14:pctHeight>
            </wp14:sizeRelV>
          </wp:anchor>
        </w:drawing>
      </w:r>
    </w:p>
    <w:tbl>
      <w:tblPr>
        <w:tblW w:w="9508" w:type="dxa"/>
        <w:jc w:val="center"/>
        <w:tblCellSpacing w:w="37" w:type="dxa"/>
        <w:tblCellMar>
          <w:left w:w="0" w:type="dxa"/>
          <w:right w:w="0" w:type="dxa"/>
        </w:tblCellMar>
        <w:tblLook w:val="04A0" w:firstRow="1" w:lastRow="0" w:firstColumn="1" w:lastColumn="0" w:noHBand="0" w:noVBand="1"/>
      </w:tblPr>
      <w:tblGrid>
        <w:gridCol w:w="117"/>
        <w:gridCol w:w="9603"/>
      </w:tblGrid>
      <w:tr w:rsidR="00362045" w:rsidRPr="00932ED2" w14:paraId="4DFB54F3" w14:textId="77777777" w:rsidTr="007C2761">
        <w:trPr>
          <w:tblCellSpacing w:w="37" w:type="dxa"/>
          <w:jc w:val="center"/>
        </w:trPr>
        <w:tc>
          <w:tcPr>
            <w:tcW w:w="0" w:type="auto"/>
            <w:vAlign w:val="center"/>
            <w:hideMark/>
          </w:tcPr>
          <w:p w14:paraId="3063D4E4" w14:textId="77777777" w:rsidR="009A65EF" w:rsidRPr="00932ED2" w:rsidRDefault="009A65EF" w:rsidP="007C2761">
            <w:pPr>
              <w:spacing w:after="0" w:line="240" w:lineRule="auto"/>
              <w:jc w:val="center"/>
              <w:rPr>
                <w:rFonts w:ascii="Verdana" w:eastAsia="Times New Roman" w:hAnsi="Verdana" w:cs="Calibri"/>
                <w:color w:val="000000"/>
                <w:sz w:val="17"/>
                <w:szCs w:val="17"/>
              </w:rPr>
            </w:pPr>
          </w:p>
          <w:p w14:paraId="00EB0C91" w14:textId="77777777" w:rsidR="009A65EF" w:rsidRPr="00932ED2" w:rsidRDefault="009A65EF" w:rsidP="007C2761">
            <w:pPr>
              <w:spacing w:after="0" w:line="240" w:lineRule="auto"/>
              <w:jc w:val="center"/>
              <w:rPr>
                <w:rFonts w:ascii="Verdana" w:eastAsia="Times New Roman" w:hAnsi="Verdana" w:cs="Calibri"/>
                <w:color w:val="000000"/>
                <w:sz w:val="17"/>
                <w:szCs w:val="17"/>
              </w:rPr>
            </w:pPr>
          </w:p>
          <w:p w14:paraId="544DD311" w14:textId="77777777" w:rsidR="00362045" w:rsidRPr="00932ED2" w:rsidRDefault="00362045" w:rsidP="007C2761">
            <w:pPr>
              <w:rPr>
                <w:sz w:val="24"/>
                <w:szCs w:val="24"/>
              </w:rPr>
            </w:pPr>
          </w:p>
        </w:tc>
        <w:tc>
          <w:tcPr>
            <w:tcW w:w="0" w:type="auto"/>
            <w:vAlign w:val="center"/>
            <w:hideMark/>
          </w:tcPr>
          <w:p w14:paraId="48A71C73" w14:textId="77777777" w:rsidR="00362045" w:rsidRPr="00932ED2" w:rsidRDefault="002934D7" w:rsidP="007C2761">
            <w:pPr>
              <w:rPr>
                <w:sz w:val="24"/>
                <w:szCs w:val="24"/>
              </w:rPr>
            </w:pPr>
            <w:r w:rsidRPr="00932ED2">
              <w:rPr>
                <w:noProof/>
                <w:lang w:val="en-CA" w:eastAsia="en-CA"/>
              </w:rPr>
              <w:drawing>
                <wp:inline distT="0" distB="0" distL="0" distR="0" wp14:anchorId="48AC292C" wp14:editId="0FB45122">
                  <wp:extent cx="6174606" cy="1102360"/>
                  <wp:effectExtent l="0" t="0" r="0" b="254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81332" cy="1103561"/>
                          </a:xfrm>
                          <a:prstGeom prst="rect">
                            <a:avLst/>
                          </a:prstGeom>
                          <a:noFill/>
                          <a:ln>
                            <a:noFill/>
                          </a:ln>
                        </pic:spPr>
                      </pic:pic>
                    </a:graphicData>
                  </a:graphic>
                </wp:inline>
              </w:drawing>
            </w:r>
          </w:p>
        </w:tc>
      </w:tr>
    </w:tbl>
    <w:p w14:paraId="3DF6BAB4" w14:textId="77777777" w:rsidR="009A65EF" w:rsidRPr="00932ED2" w:rsidRDefault="004F50C9" w:rsidP="004F50C9">
      <w:pPr>
        <w:autoSpaceDE w:val="0"/>
        <w:autoSpaceDN w:val="0"/>
        <w:spacing w:after="0" w:line="240" w:lineRule="auto"/>
        <w:jc w:val="center"/>
        <w:rPr>
          <w:rFonts w:ascii="Century Gothic" w:eastAsia="Times New Roman" w:hAnsi="Century Gothic" w:cs="Calibri"/>
          <w:b/>
          <w:bCs/>
          <w:color w:val="0070C0"/>
        </w:rPr>
      </w:pPr>
      <w:r w:rsidRPr="00932ED2">
        <w:rPr>
          <w:rFonts w:ascii="Century Gothic" w:hAnsi="Century Gothic"/>
          <w:b/>
          <w:bCs/>
          <w:color w:val="0070C0"/>
        </w:rPr>
        <w:t>English version ***La Version française suit***</w:t>
      </w:r>
    </w:p>
    <w:p w14:paraId="3D656FB8" w14:textId="77777777" w:rsidR="009A65EF" w:rsidRPr="00932ED2" w:rsidRDefault="009A65EF" w:rsidP="004F50C9">
      <w:pPr>
        <w:autoSpaceDE w:val="0"/>
        <w:autoSpaceDN w:val="0"/>
        <w:spacing w:after="0" w:line="240" w:lineRule="auto"/>
        <w:jc w:val="center"/>
        <w:rPr>
          <w:rFonts w:ascii="Century Gothic" w:eastAsia="Times New Roman" w:hAnsi="Century Gothic" w:cs="Calibri"/>
          <w:b/>
          <w:bCs/>
          <w:color w:val="0070C0"/>
        </w:rPr>
      </w:pPr>
    </w:p>
    <w:p w14:paraId="62B47FE4" w14:textId="77777777" w:rsidR="009A65EF" w:rsidRPr="00932ED2" w:rsidRDefault="00712E39" w:rsidP="00362045">
      <w:pPr>
        <w:spacing w:after="0" w:line="240" w:lineRule="auto"/>
        <w:jc w:val="center"/>
        <w:rPr>
          <w:rFonts w:ascii="Century Gothic" w:hAnsi="Century Gothic"/>
          <w:b/>
          <w:bCs/>
          <w:sz w:val="26"/>
          <w:szCs w:val="26"/>
          <w:u w:val="single"/>
          <w:lang w:val="en-US"/>
        </w:rPr>
      </w:pPr>
      <w:r w:rsidRPr="00932ED2">
        <w:rPr>
          <w:rFonts w:ascii="Century Gothic" w:hAnsi="Century Gothic"/>
          <w:b/>
          <w:bCs/>
          <w:sz w:val="26"/>
          <w:szCs w:val="26"/>
          <w:u w:val="single"/>
          <w:lang w:val="en-US"/>
        </w:rPr>
        <w:t>Notice to tax professionals</w:t>
      </w:r>
    </w:p>
    <w:p w14:paraId="419B2A37" w14:textId="77777777" w:rsidR="009A65EF" w:rsidRPr="00932ED2" w:rsidRDefault="009A65EF" w:rsidP="00647C76">
      <w:pPr>
        <w:spacing w:after="0" w:line="240" w:lineRule="auto"/>
        <w:rPr>
          <w:lang w:val="en-US"/>
        </w:rPr>
      </w:pPr>
    </w:p>
    <w:p w14:paraId="2F42357C" w14:textId="457034DD" w:rsidR="00684B1F" w:rsidRPr="00932ED2" w:rsidRDefault="00EB7FFE" w:rsidP="00684B1F">
      <w:pPr>
        <w:spacing w:after="0" w:line="240" w:lineRule="auto"/>
        <w:rPr>
          <w:rFonts w:ascii="Century Gothic" w:hAnsi="Century Gothic" w:cs="Times New Roman"/>
          <w:sz w:val="20"/>
          <w:szCs w:val="19"/>
          <w:lang w:val="en-US"/>
        </w:rPr>
      </w:pPr>
      <w:r w:rsidRPr="00932ED2">
        <w:rPr>
          <w:rFonts w:ascii="Century Gothic" w:hAnsi="Century Gothic"/>
          <w:sz w:val="20"/>
          <w:szCs w:val="19"/>
          <w:lang w:val="en-US" w:eastAsia="en-CA"/>
        </w:rPr>
        <w:t>Hybrid mismatch arrangements are one of the types of base erosion identified in the Organisation for Economic Co-operation and Development (OECD)/G20 project on Base Erosion and Profit Shifting (BEPS). Hybrid mismatch arrangements are tax plans intended to secure a tax advantage within a multinational enterprise by exploiting differences in the tax treatment of the same financial instrument or entity between different jurisdictions.</w:t>
      </w:r>
      <w:r w:rsidR="004119D3">
        <w:rPr>
          <w:rFonts w:ascii="Century Gothic" w:hAnsi="Century Gothic"/>
          <w:sz w:val="20"/>
          <w:szCs w:val="19"/>
          <w:lang w:val="en-US" w:eastAsia="en-CA"/>
        </w:rPr>
        <w:t xml:space="preserve"> </w:t>
      </w:r>
      <w:r w:rsidRPr="00932ED2">
        <w:rPr>
          <w:rFonts w:ascii="Century Gothic" w:hAnsi="Century Gothic"/>
          <w:sz w:val="20"/>
          <w:szCs w:val="19"/>
          <w:lang w:val="en" w:eastAsia="en-CA"/>
        </w:rPr>
        <w:t xml:space="preserve">The Canada Revenue Agency (CRA) confirmed that it has resolved a </w:t>
      </w:r>
      <w:r w:rsidR="00244E0F">
        <w:rPr>
          <w:rFonts w:ascii="Century Gothic" w:hAnsi="Century Gothic"/>
          <w:sz w:val="20"/>
          <w:szCs w:val="19"/>
          <w:lang w:val="en" w:eastAsia="en-CA"/>
        </w:rPr>
        <w:t xml:space="preserve">file regarding a </w:t>
      </w:r>
      <w:r w:rsidRPr="00932ED2">
        <w:rPr>
          <w:rFonts w:ascii="Century Gothic" w:hAnsi="Century Gothic"/>
          <w:sz w:val="20"/>
          <w:szCs w:val="19"/>
          <w:lang w:val="en" w:eastAsia="en-CA"/>
        </w:rPr>
        <w:t>hybrid mismatch arrangement involving the deduction of non-arm</w:t>
      </w:r>
      <w:r w:rsidR="00932ED2">
        <w:rPr>
          <w:rFonts w:ascii="Century Gothic" w:hAnsi="Century Gothic"/>
          <w:sz w:val="20"/>
          <w:szCs w:val="19"/>
          <w:lang w:val="en" w:eastAsia="en-CA"/>
        </w:rPr>
        <w:t>’</w:t>
      </w:r>
      <w:r w:rsidRPr="00932ED2">
        <w:rPr>
          <w:rFonts w:ascii="Century Gothic" w:hAnsi="Century Gothic"/>
          <w:sz w:val="20"/>
          <w:szCs w:val="19"/>
          <w:lang w:val="en" w:eastAsia="en-CA"/>
        </w:rPr>
        <w:t>s length interest in a series of transactions that included a forward subscription agreement (outlined in the diagram below) on the basis that paragraphs 247(2)(b) and (d) of the Income Tax Act and transfer pricing penalties applied.</w:t>
      </w:r>
    </w:p>
    <w:p w14:paraId="1A0AA33A" w14:textId="77777777" w:rsidR="00684B1F" w:rsidRPr="00932ED2" w:rsidRDefault="00684B1F" w:rsidP="00684B1F">
      <w:pPr>
        <w:spacing w:after="0" w:line="240" w:lineRule="auto"/>
        <w:rPr>
          <w:rFonts w:ascii="Century Gothic" w:hAnsi="Century Gothic" w:cs="Times New Roman"/>
          <w:sz w:val="20"/>
          <w:szCs w:val="19"/>
          <w:lang w:val="en" w:eastAsia="en-CA"/>
        </w:rPr>
      </w:pPr>
    </w:p>
    <w:p w14:paraId="25249EFF" w14:textId="6B454E4F" w:rsidR="00684B1F" w:rsidRPr="00932ED2" w:rsidRDefault="00684B1F" w:rsidP="00684B1F">
      <w:pPr>
        <w:spacing w:after="0" w:line="240" w:lineRule="auto"/>
        <w:rPr>
          <w:rFonts w:ascii="Century Gothic" w:hAnsi="Century Gothic" w:cs="Times New Roman"/>
          <w:sz w:val="20"/>
          <w:szCs w:val="19"/>
          <w:lang w:val="en-US"/>
        </w:rPr>
      </w:pPr>
      <w:r w:rsidRPr="00932ED2">
        <w:rPr>
          <w:rFonts w:ascii="Century Gothic" w:hAnsi="Century Gothic"/>
          <w:sz w:val="20"/>
          <w:szCs w:val="19"/>
          <w:lang w:val="en" w:eastAsia="en-CA"/>
        </w:rPr>
        <w:t>It is the CRA</w:t>
      </w:r>
      <w:r w:rsidR="00932ED2">
        <w:rPr>
          <w:rFonts w:ascii="Century Gothic" w:hAnsi="Century Gothic"/>
          <w:sz w:val="20"/>
          <w:szCs w:val="19"/>
          <w:lang w:val="en" w:eastAsia="en-CA"/>
        </w:rPr>
        <w:t>’</w:t>
      </w:r>
      <w:r w:rsidRPr="00932ED2">
        <w:rPr>
          <w:rFonts w:ascii="Century Gothic" w:hAnsi="Century Gothic"/>
          <w:sz w:val="20"/>
          <w:szCs w:val="19"/>
          <w:lang w:val="en" w:eastAsia="en-CA"/>
        </w:rPr>
        <w:t>s general view that such transactions are undertaken primarily to obtain a tax benefit and that they would not be undertaken by parties dealing at arm</w:t>
      </w:r>
      <w:r w:rsidR="00932ED2">
        <w:rPr>
          <w:rFonts w:ascii="Century Gothic" w:hAnsi="Century Gothic"/>
          <w:sz w:val="20"/>
          <w:szCs w:val="19"/>
          <w:lang w:val="en" w:eastAsia="en-CA"/>
        </w:rPr>
        <w:t>’</w:t>
      </w:r>
      <w:r w:rsidRPr="00932ED2">
        <w:rPr>
          <w:rFonts w:ascii="Century Gothic" w:hAnsi="Century Gothic"/>
          <w:sz w:val="20"/>
          <w:szCs w:val="19"/>
          <w:lang w:val="en" w:eastAsia="en-CA"/>
        </w:rPr>
        <w:t>s length. When the CRA finds transactions similar to the example below, the Transfer Pricing Review Committee will be consulted regarding the application of paragraphs 247(2)(b) and (d). Where these paragraphs apply, related transfer pricing penalties will generally apply on the basis that taxpayers engaging in this type of tax planning did not use reasonable efforts to use arm</w:t>
      </w:r>
      <w:r w:rsidR="00932ED2">
        <w:rPr>
          <w:rFonts w:ascii="Century Gothic" w:hAnsi="Century Gothic"/>
          <w:sz w:val="20"/>
          <w:szCs w:val="19"/>
          <w:lang w:val="en" w:eastAsia="en-CA"/>
        </w:rPr>
        <w:t>’</w:t>
      </w:r>
      <w:r w:rsidRPr="00932ED2">
        <w:rPr>
          <w:rFonts w:ascii="Century Gothic" w:hAnsi="Century Gothic"/>
          <w:sz w:val="20"/>
          <w:szCs w:val="19"/>
          <w:lang w:val="en" w:eastAsia="en-CA"/>
        </w:rPr>
        <w:t>s length prices, terms and conditions in their transfer pricing.</w:t>
      </w:r>
    </w:p>
    <w:p w14:paraId="1622B02E" w14:textId="4BCDA170" w:rsidR="00EB7FFE" w:rsidRPr="00932ED2" w:rsidRDefault="00EB7FFE" w:rsidP="00684B1F">
      <w:pPr>
        <w:spacing w:after="0" w:line="240" w:lineRule="auto"/>
        <w:rPr>
          <w:rFonts w:ascii="Century Gothic" w:hAnsi="Century Gothic" w:cs="Times New Roman"/>
          <w:sz w:val="20"/>
          <w:szCs w:val="19"/>
          <w:lang w:val="en" w:eastAsia="en-CA"/>
        </w:rPr>
      </w:pPr>
    </w:p>
    <w:p w14:paraId="2AB71F87" w14:textId="780EDB2F" w:rsidR="00EB7FFE" w:rsidRDefault="00EB7FFE" w:rsidP="00684B1F">
      <w:pPr>
        <w:spacing w:after="0" w:line="240" w:lineRule="auto"/>
        <w:rPr>
          <w:rFonts w:ascii="Century Gothic" w:hAnsi="Century Gothic"/>
          <w:sz w:val="20"/>
          <w:szCs w:val="19"/>
          <w:lang w:val="en" w:eastAsia="en-CA"/>
        </w:rPr>
      </w:pPr>
      <w:r w:rsidRPr="00932ED2">
        <w:rPr>
          <w:rFonts w:ascii="Century Gothic" w:hAnsi="Century Gothic"/>
          <w:sz w:val="20"/>
          <w:szCs w:val="19"/>
          <w:lang w:val="en" w:eastAsia="en-CA"/>
        </w:rPr>
        <w:t>Taxpayers and their advisors are invited to contact their International and Large Business Case Manager or the CRA</w:t>
      </w:r>
      <w:r w:rsidR="00932ED2">
        <w:rPr>
          <w:rFonts w:ascii="Century Gothic" w:hAnsi="Century Gothic"/>
          <w:sz w:val="20"/>
          <w:szCs w:val="19"/>
          <w:lang w:val="en" w:eastAsia="en-CA"/>
        </w:rPr>
        <w:t>’</w:t>
      </w:r>
      <w:r w:rsidRPr="00932ED2">
        <w:rPr>
          <w:rFonts w:ascii="Century Gothic" w:hAnsi="Century Gothic"/>
          <w:sz w:val="20"/>
          <w:szCs w:val="19"/>
          <w:lang w:val="en" w:eastAsia="en-CA"/>
        </w:rPr>
        <w:t>s International and Large Business Directorate for more information.</w:t>
      </w:r>
    </w:p>
    <w:p w14:paraId="6CFB9E18" w14:textId="00A80B60" w:rsidR="00D333C0" w:rsidRDefault="008D02A5" w:rsidP="00D333C0">
      <w:pPr>
        <w:spacing w:after="0" w:line="240" w:lineRule="auto"/>
        <w:jc w:val="center"/>
        <w:rPr>
          <w:rFonts w:ascii="Century Gothic" w:hAnsi="Century Gothic" w:cs="Times New Roman"/>
          <w:sz w:val="20"/>
          <w:szCs w:val="19"/>
          <w:lang w:val="en-US"/>
        </w:rPr>
      </w:pPr>
      <w:r>
        <w:rPr>
          <w:noProof/>
          <w:lang w:val="en-CA" w:eastAsia="en-CA"/>
        </w:rPr>
        <w:drawing>
          <wp:inline distT="0" distB="0" distL="0" distR="0" wp14:anchorId="49C910B4" wp14:editId="4192B763">
            <wp:extent cx="5086350" cy="3505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086350" cy="3505200"/>
                    </a:xfrm>
                    <a:prstGeom prst="rect">
                      <a:avLst/>
                    </a:prstGeom>
                  </pic:spPr>
                </pic:pic>
              </a:graphicData>
            </a:graphic>
          </wp:inline>
        </w:drawing>
      </w:r>
    </w:p>
    <w:p w14:paraId="088F9DE7" w14:textId="77777777" w:rsidR="00D333C0" w:rsidRDefault="00D333C0">
      <w:pPr>
        <w:rPr>
          <w:rFonts w:ascii="Century Gothic" w:hAnsi="Century Gothic" w:cs="Times New Roman"/>
          <w:sz w:val="20"/>
          <w:szCs w:val="19"/>
          <w:lang w:val="en-US"/>
        </w:rPr>
      </w:pPr>
      <w:r>
        <w:rPr>
          <w:rFonts w:ascii="Century Gothic" w:hAnsi="Century Gothic" w:cs="Times New Roman"/>
          <w:sz w:val="20"/>
          <w:szCs w:val="19"/>
          <w:lang w:val="en-US"/>
        </w:rPr>
        <w:br w:type="page"/>
      </w:r>
    </w:p>
    <w:p w14:paraId="4E62F729" w14:textId="1C8B6FAB" w:rsidR="009A65EF" w:rsidRPr="00932ED2" w:rsidRDefault="009A65EF" w:rsidP="00712E39">
      <w:pPr>
        <w:spacing w:after="0" w:line="240" w:lineRule="auto"/>
        <w:jc w:val="center"/>
        <w:rPr>
          <w:rFonts w:ascii="Verdana" w:hAnsi="Verdana"/>
          <w:b/>
          <w:sz w:val="20"/>
          <w:szCs w:val="20"/>
        </w:rPr>
      </w:pPr>
    </w:p>
    <w:p w14:paraId="45B0BC6E" w14:textId="5632115D" w:rsidR="009A65EF" w:rsidRPr="00932ED2" w:rsidRDefault="00D333C0">
      <w:r w:rsidRPr="00932ED2">
        <w:rPr>
          <w:noProof/>
          <w:sz w:val="24"/>
          <w:szCs w:val="24"/>
          <w:lang w:val="en-CA" w:eastAsia="en-CA"/>
        </w:rPr>
        <w:drawing>
          <wp:anchor distT="0" distB="0" distL="114300" distR="114300" simplePos="0" relativeHeight="251666432" behindDoc="1" locked="0" layoutInCell="1" allowOverlap="1" wp14:anchorId="538DD32E" wp14:editId="72384290">
            <wp:simplePos x="0" y="0"/>
            <wp:positionH relativeFrom="column">
              <wp:posOffset>130810</wp:posOffset>
            </wp:positionH>
            <wp:positionV relativeFrom="page">
              <wp:posOffset>509270</wp:posOffset>
            </wp:positionV>
            <wp:extent cx="2212340" cy="191770"/>
            <wp:effectExtent l="0" t="0" r="0" b="0"/>
            <wp:wrapTight wrapText="bothSides">
              <wp:wrapPolygon edited="0">
                <wp:start x="0" y="0"/>
                <wp:lineTo x="0" y="19311"/>
                <wp:lineTo x="21389" y="19311"/>
                <wp:lineTo x="21389" y="0"/>
                <wp:lineTo x="0" y="0"/>
              </wp:wrapPolygon>
            </wp:wrapTight>
            <wp:docPr id="6" name="Picture 6" descr="G:\COMMUNICATIONS\Translation Services\Dossier des traducteurs\EBAUCHES 2018\Jessica\image ARC-CRA.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G:\COMMUNICATIONS\Translation Services\Dossier des traducteurs\EBAUCHES 2018\Jessica\image ARC-CRA.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12340" cy="191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32ED2">
        <w:rPr>
          <w:rFonts w:ascii="Century Gothic" w:hAnsi="Century Gothic"/>
          <w:noProof/>
          <w:color w:val="000000"/>
          <w:sz w:val="17"/>
          <w:szCs w:val="17"/>
          <w:lang w:val="en-CA" w:eastAsia="en-CA"/>
        </w:rPr>
        <w:drawing>
          <wp:anchor distT="0" distB="0" distL="114300" distR="114300" simplePos="0" relativeHeight="251668480" behindDoc="0" locked="0" layoutInCell="1" allowOverlap="1" wp14:anchorId="4039F2BF" wp14:editId="601F8C03">
            <wp:simplePos x="0" y="0"/>
            <wp:positionH relativeFrom="margin">
              <wp:align>center</wp:align>
            </wp:positionH>
            <wp:positionV relativeFrom="paragraph">
              <wp:posOffset>355984</wp:posOffset>
            </wp:positionV>
            <wp:extent cx="5954395" cy="1118870"/>
            <wp:effectExtent l="0" t="0" r="8255" b="5080"/>
            <wp:wrapSquare wrapText="bothSides"/>
            <wp:docPr id="30" name="Picture 4" descr="cid:image014.jpg@01D2D3D5.CB2D63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image014.jpg@01D2D3D5.CB2D63D0"/>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5954395" cy="1118870"/>
                    </a:xfrm>
                    <a:prstGeom prst="rect">
                      <a:avLst/>
                    </a:prstGeom>
                    <a:noFill/>
                    <a:ln>
                      <a:noFill/>
                    </a:ln>
                  </pic:spPr>
                </pic:pic>
              </a:graphicData>
            </a:graphic>
            <wp14:sizeRelH relativeFrom="margin">
              <wp14:pctWidth>0</wp14:pctWidth>
            </wp14:sizeRelH>
          </wp:anchor>
        </w:drawing>
      </w:r>
      <w:r w:rsidR="002934D7" w:rsidRPr="00932ED2">
        <w:rPr>
          <w:noProof/>
          <w:lang w:val="en-CA" w:eastAsia="en-CA"/>
        </w:rPr>
        <w:drawing>
          <wp:anchor distT="0" distB="0" distL="114300" distR="114300" simplePos="0" relativeHeight="251667456" behindDoc="1" locked="0" layoutInCell="1" allowOverlap="1" wp14:anchorId="6206939B" wp14:editId="4D05030B">
            <wp:simplePos x="0" y="0"/>
            <wp:positionH relativeFrom="column">
              <wp:posOffset>5146274</wp:posOffset>
            </wp:positionH>
            <wp:positionV relativeFrom="paragraph">
              <wp:posOffset>8890</wp:posOffset>
            </wp:positionV>
            <wp:extent cx="793750" cy="189865"/>
            <wp:effectExtent l="0" t="0" r="6350" b="635"/>
            <wp:wrapTight wrapText="bothSides">
              <wp:wrapPolygon edited="0">
                <wp:start x="0" y="0"/>
                <wp:lineTo x="0" y="19505"/>
                <wp:lineTo x="21254" y="19505"/>
                <wp:lineTo x="21254" y="0"/>
                <wp:lineTo x="0" y="0"/>
              </wp:wrapPolygon>
            </wp:wrapTight>
            <wp:docPr id="29" name="Picture 29" descr="Symbol of the Government of Ca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ymbol of the Government of Canada"/>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793750" cy="1898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839AE51" w14:textId="77777777" w:rsidR="009A65EF" w:rsidRPr="00932ED2" w:rsidRDefault="0088382B" w:rsidP="002934D7">
      <w:pPr>
        <w:spacing w:before="480" w:after="100" w:afterAutospacing="1" w:line="240" w:lineRule="auto"/>
        <w:jc w:val="center"/>
        <w:rPr>
          <w:rFonts w:ascii="Times New Roman" w:eastAsia="Calibri" w:hAnsi="Times New Roman" w:cs="Times New Roman"/>
          <w:b/>
          <w:bCs/>
          <w:color w:val="0070C0"/>
        </w:rPr>
      </w:pPr>
      <w:r w:rsidRPr="00932ED2">
        <w:rPr>
          <w:rFonts w:ascii="Century Gothic" w:hAnsi="Century Gothic"/>
          <w:b/>
          <w:bCs/>
          <w:color w:val="0070C0"/>
        </w:rPr>
        <w:t>Version française</w:t>
      </w:r>
      <w:r w:rsidRPr="00932ED2">
        <w:rPr>
          <w:rFonts w:ascii="Century Gothic" w:hAnsi="Century Gothic"/>
          <w:color w:val="0070C0"/>
        </w:rPr>
        <w:t xml:space="preserve"> </w:t>
      </w:r>
      <w:r w:rsidRPr="00932ED2">
        <w:rPr>
          <w:rFonts w:ascii="Century Gothic" w:hAnsi="Century Gothic"/>
          <w:b/>
          <w:bCs/>
          <w:color w:val="0070C0"/>
        </w:rPr>
        <w:t>***The English version precedes***</w:t>
      </w:r>
    </w:p>
    <w:p w14:paraId="4474DE77" w14:textId="40CF9CBC" w:rsidR="009A65EF" w:rsidRPr="00932ED2" w:rsidRDefault="0088382B" w:rsidP="0088382B">
      <w:pPr>
        <w:spacing w:after="0" w:line="240" w:lineRule="auto"/>
        <w:jc w:val="center"/>
        <w:rPr>
          <w:rFonts w:ascii="Century Gothic" w:hAnsi="Century Gothic"/>
          <w:b/>
          <w:bCs/>
          <w:sz w:val="26"/>
          <w:szCs w:val="26"/>
          <w:u w:val="single"/>
        </w:rPr>
      </w:pPr>
      <w:r w:rsidRPr="00932ED2">
        <w:rPr>
          <w:rFonts w:ascii="Century Gothic" w:hAnsi="Century Gothic"/>
          <w:b/>
          <w:bCs/>
          <w:color w:val="000000"/>
          <w:sz w:val="26"/>
          <w:szCs w:val="26"/>
          <w:u w:val="single"/>
        </w:rPr>
        <w:t>Avis à l</w:t>
      </w:r>
      <w:r w:rsidR="00932ED2">
        <w:rPr>
          <w:rFonts w:ascii="Century Gothic" w:hAnsi="Century Gothic"/>
          <w:b/>
          <w:bCs/>
          <w:color w:val="000000"/>
          <w:sz w:val="26"/>
          <w:szCs w:val="26"/>
          <w:u w:val="single"/>
        </w:rPr>
        <w:t>’</w:t>
      </w:r>
      <w:r w:rsidRPr="00932ED2">
        <w:rPr>
          <w:rFonts w:ascii="Century Gothic" w:hAnsi="Century Gothic"/>
          <w:b/>
          <w:bCs/>
          <w:color w:val="000000"/>
          <w:sz w:val="26"/>
          <w:szCs w:val="26"/>
          <w:u w:val="single"/>
        </w:rPr>
        <w:t>intention des fiscalistes</w:t>
      </w:r>
    </w:p>
    <w:p w14:paraId="528760AF" w14:textId="77777777" w:rsidR="009A65EF" w:rsidRPr="00932ED2" w:rsidRDefault="009A65EF" w:rsidP="0088382B">
      <w:pPr>
        <w:spacing w:after="0" w:line="240" w:lineRule="auto"/>
      </w:pPr>
    </w:p>
    <w:p w14:paraId="5B3DA9EE" w14:textId="0DF3B885" w:rsidR="00914185" w:rsidRPr="00D333C0" w:rsidRDefault="00914185" w:rsidP="00914185">
      <w:pPr>
        <w:spacing w:after="0" w:line="240" w:lineRule="auto"/>
        <w:rPr>
          <w:rFonts w:ascii="Century Gothic" w:hAnsi="Century Gothic" w:cs="Times New Roman"/>
          <w:sz w:val="20"/>
          <w:szCs w:val="19"/>
        </w:rPr>
      </w:pPr>
      <w:r w:rsidRPr="00D333C0">
        <w:rPr>
          <w:rFonts w:ascii="Century Gothic" w:hAnsi="Century Gothic"/>
          <w:sz w:val="20"/>
          <w:szCs w:val="19"/>
        </w:rPr>
        <w:t xml:space="preserve">Les dispositions prises pour les </w:t>
      </w:r>
      <w:r w:rsidR="0016329B" w:rsidRPr="00D333C0">
        <w:rPr>
          <w:rFonts w:ascii="Century Gothic" w:hAnsi="Century Gothic"/>
          <w:sz w:val="20"/>
          <w:szCs w:val="19"/>
        </w:rPr>
        <w:t>dispositifs hybrides</w:t>
      </w:r>
      <w:r w:rsidRPr="00D333C0">
        <w:rPr>
          <w:rFonts w:ascii="Century Gothic" w:hAnsi="Century Gothic"/>
          <w:sz w:val="20"/>
          <w:szCs w:val="19"/>
        </w:rPr>
        <w:t xml:space="preserve"> sont l</w:t>
      </w:r>
      <w:r w:rsidR="00932ED2" w:rsidRPr="00D333C0">
        <w:rPr>
          <w:rFonts w:ascii="Century Gothic" w:hAnsi="Century Gothic"/>
          <w:sz w:val="20"/>
          <w:szCs w:val="19"/>
        </w:rPr>
        <w:t>’</w:t>
      </w:r>
      <w:r w:rsidRPr="00D333C0">
        <w:rPr>
          <w:rFonts w:ascii="Century Gothic" w:hAnsi="Century Gothic"/>
          <w:sz w:val="20"/>
          <w:szCs w:val="19"/>
        </w:rPr>
        <w:t>un des types d</w:t>
      </w:r>
      <w:r w:rsidR="00932ED2" w:rsidRPr="00D333C0">
        <w:rPr>
          <w:rFonts w:ascii="Century Gothic" w:hAnsi="Century Gothic"/>
          <w:sz w:val="20"/>
          <w:szCs w:val="19"/>
        </w:rPr>
        <w:t>’</w:t>
      </w:r>
      <w:r w:rsidRPr="00D333C0">
        <w:rPr>
          <w:rFonts w:ascii="Century Gothic" w:hAnsi="Century Gothic"/>
          <w:sz w:val="20"/>
          <w:szCs w:val="19"/>
        </w:rPr>
        <w:t>érosion de la base cernés dans le cadre du projet de l</w:t>
      </w:r>
      <w:r w:rsidR="00932ED2" w:rsidRPr="00D333C0">
        <w:rPr>
          <w:rFonts w:ascii="Century Gothic" w:hAnsi="Century Gothic"/>
          <w:sz w:val="20"/>
          <w:szCs w:val="19"/>
        </w:rPr>
        <w:t>’</w:t>
      </w:r>
      <w:r w:rsidRPr="00D333C0">
        <w:rPr>
          <w:rFonts w:ascii="Century Gothic" w:hAnsi="Century Gothic"/>
          <w:sz w:val="20"/>
          <w:szCs w:val="19"/>
        </w:rPr>
        <w:t>Organisation de coopération et de développement économiques (OCDE)/G20 sur l</w:t>
      </w:r>
      <w:r w:rsidR="00932ED2" w:rsidRPr="00D333C0">
        <w:rPr>
          <w:rFonts w:ascii="Century Gothic" w:hAnsi="Century Gothic"/>
          <w:sz w:val="20"/>
          <w:szCs w:val="19"/>
        </w:rPr>
        <w:t>’</w:t>
      </w:r>
      <w:r w:rsidRPr="00D333C0">
        <w:rPr>
          <w:rFonts w:ascii="Century Gothic" w:hAnsi="Century Gothic"/>
          <w:sz w:val="20"/>
          <w:szCs w:val="19"/>
        </w:rPr>
        <w:t>érosion de la base d</w:t>
      </w:r>
      <w:r w:rsidR="00932ED2" w:rsidRPr="00D333C0">
        <w:rPr>
          <w:rFonts w:ascii="Century Gothic" w:hAnsi="Century Gothic"/>
          <w:sz w:val="20"/>
          <w:szCs w:val="19"/>
        </w:rPr>
        <w:t>’</w:t>
      </w:r>
      <w:r w:rsidRPr="00D333C0">
        <w:rPr>
          <w:rFonts w:ascii="Century Gothic" w:hAnsi="Century Gothic"/>
          <w:sz w:val="20"/>
          <w:szCs w:val="19"/>
        </w:rPr>
        <w:t xml:space="preserve">imposition et le transfert de bénéfices (BEPS). Les dispositions prises pour les </w:t>
      </w:r>
      <w:r w:rsidR="004119D3" w:rsidRPr="00D333C0">
        <w:rPr>
          <w:rFonts w:ascii="Century Gothic" w:hAnsi="Century Gothic"/>
          <w:sz w:val="20"/>
          <w:szCs w:val="19"/>
        </w:rPr>
        <w:t>dispositifs</w:t>
      </w:r>
      <w:r w:rsidRPr="00D333C0">
        <w:rPr>
          <w:rFonts w:ascii="Century Gothic" w:hAnsi="Century Gothic"/>
          <w:sz w:val="20"/>
          <w:szCs w:val="19"/>
        </w:rPr>
        <w:t xml:space="preserve"> hybrides sont des plans fiscaux qui visent à obtenir un avantage fiscal au sein d</w:t>
      </w:r>
      <w:r w:rsidR="00932ED2" w:rsidRPr="00D333C0">
        <w:rPr>
          <w:rFonts w:ascii="Century Gothic" w:hAnsi="Century Gothic"/>
          <w:sz w:val="20"/>
          <w:szCs w:val="19"/>
        </w:rPr>
        <w:t>’</w:t>
      </w:r>
      <w:r w:rsidRPr="00D333C0">
        <w:rPr>
          <w:rFonts w:ascii="Century Gothic" w:hAnsi="Century Gothic"/>
          <w:sz w:val="20"/>
          <w:szCs w:val="19"/>
        </w:rPr>
        <w:t>une entreprise multinationale en exploitant les différences dans le traitement fiscal des mêmes instruments financiers ou entités entre différentes administrations. L</w:t>
      </w:r>
      <w:r w:rsidR="00932ED2" w:rsidRPr="00D333C0">
        <w:rPr>
          <w:rFonts w:ascii="Century Gothic" w:hAnsi="Century Gothic"/>
          <w:sz w:val="20"/>
          <w:szCs w:val="19"/>
        </w:rPr>
        <w:t>’</w:t>
      </w:r>
      <w:r w:rsidRPr="00D333C0">
        <w:rPr>
          <w:rFonts w:ascii="Century Gothic" w:hAnsi="Century Gothic"/>
          <w:sz w:val="20"/>
          <w:szCs w:val="19"/>
        </w:rPr>
        <w:t xml:space="preserve">Agence du revenu du Canada </w:t>
      </w:r>
      <w:r w:rsidR="004119D3" w:rsidRPr="00D333C0">
        <w:rPr>
          <w:rFonts w:ascii="Century Gothic" w:hAnsi="Century Gothic"/>
          <w:sz w:val="20"/>
          <w:szCs w:val="19"/>
        </w:rPr>
        <w:t xml:space="preserve">(ARC) </w:t>
      </w:r>
      <w:r w:rsidRPr="00D333C0">
        <w:rPr>
          <w:rFonts w:ascii="Century Gothic" w:hAnsi="Century Gothic"/>
          <w:sz w:val="20"/>
          <w:szCs w:val="19"/>
        </w:rPr>
        <w:t>a confirmé qu</w:t>
      </w:r>
      <w:r w:rsidR="00932ED2" w:rsidRPr="00D333C0">
        <w:rPr>
          <w:rFonts w:ascii="Century Gothic" w:hAnsi="Century Gothic"/>
          <w:sz w:val="20"/>
          <w:szCs w:val="19"/>
        </w:rPr>
        <w:t>’</w:t>
      </w:r>
      <w:r w:rsidRPr="00D333C0">
        <w:rPr>
          <w:rFonts w:ascii="Century Gothic" w:hAnsi="Century Gothic"/>
          <w:sz w:val="20"/>
          <w:szCs w:val="19"/>
        </w:rPr>
        <w:t xml:space="preserve">elle a réglé </w:t>
      </w:r>
      <w:r w:rsidR="00244E0F">
        <w:rPr>
          <w:rFonts w:ascii="Century Gothic" w:hAnsi="Century Gothic"/>
          <w:sz w:val="20"/>
          <w:szCs w:val="19"/>
        </w:rPr>
        <w:t>un dossier à propos d’</w:t>
      </w:r>
      <w:r w:rsidRPr="00D333C0">
        <w:rPr>
          <w:rFonts w:ascii="Century Gothic" w:hAnsi="Century Gothic"/>
          <w:sz w:val="20"/>
          <w:szCs w:val="19"/>
        </w:rPr>
        <w:t xml:space="preserve">une disposition prise pour les </w:t>
      </w:r>
      <w:r w:rsidR="004119D3" w:rsidRPr="00D333C0">
        <w:rPr>
          <w:rFonts w:ascii="Century Gothic" w:hAnsi="Century Gothic"/>
          <w:sz w:val="20"/>
          <w:szCs w:val="19"/>
        </w:rPr>
        <w:t>dispositifs</w:t>
      </w:r>
      <w:r w:rsidRPr="00D333C0">
        <w:rPr>
          <w:rFonts w:ascii="Century Gothic" w:hAnsi="Century Gothic"/>
          <w:sz w:val="20"/>
          <w:szCs w:val="19"/>
        </w:rPr>
        <w:t xml:space="preserve"> hybrides qui implique la déduction des intérêts entre personnes ayant un lien de dépendance dans une série d</w:t>
      </w:r>
      <w:r w:rsidR="00932ED2" w:rsidRPr="00D333C0">
        <w:rPr>
          <w:rFonts w:ascii="Century Gothic" w:hAnsi="Century Gothic"/>
          <w:sz w:val="20"/>
          <w:szCs w:val="19"/>
        </w:rPr>
        <w:t>’</w:t>
      </w:r>
      <w:r w:rsidRPr="00D333C0">
        <w:rPr>
          <w:rFonts w:ascii="Century Gothic" w:hAnsi="Century Gothic"/>
          <w:sz w:val="20"/>
          <w:szCs w:val="19"/>
        </w:rPr>
        <w:t>opérations qui comprenaient une entente de souscription à terme (décrite dans le diagramme ci-dessous) fondée sur les alinéas 247 (2) b) et d) de la Loi de l</w:t>
      </w:r>
      <w:r w:rsidR="00932ED2" w:rsidRPr="00D333C0">
        <w:rPr>
          <w:rFonts w:ascii="Century Gothic" w:hAnsi="Century Gothic"/>
          <w:sz w:val="20"/>
          <w:szCs w:val="19"/>
        </w:rPr>
        <w:t>’</w:t>
      </w:r>
      <w:r w:rsidRPr="00D333C0">
        <w:rPr>
          <w:rFonts w:ascii="Century Gothic" w:hAnsi="Century Gothic"/>
          <w:sz w:val="20"/>
          <w:szCs w:val="19"/>
        </w:rPr>
        <w:t>impôt sur le revenu et les pénalités relatives au prix de transfert qui s</w:t>
      </w:r>
      <w:r w:rsidR="00932ED2" w:rsidRPr="00D333C0">
        <w:rPr>
          <w:rFonts w:ascii="Century Gothic" w:hAnsi="Century Gothic"/>
          <w:sz w:val="20"/>
          <w:szCs w:val="19"/>
        </w:rPr>
        <w:t>’</w:t>
      </w:r>
      <w:r w:rsidRPr="00D333C0">
        <w:rPr>
          <w:rFonts w:ascii="Century Gothic" w:hAnsi="Century Gothic"/>
          <w:sz w:val="20"/>
          <w:szCs w:val="19"/>
        </w:rPr>
        <w:t>appliquent.</w:t>
      </w:r>
    </w:p>
    <w:p w14:paraId="22F4BF10" w14:textId="77777777" w:rsidR="009A65EF" w:rsidRPr="00D333C0" w:rsidRDefault="009A65EF" w:rsidP="0088382B">
      <w:pPr>
        <w:spacing w:after="0" w:line="240" w:lineRule="auto"/>
        <w:rPr>
          <w:rFonts w:ascii="Century Gothic" w:hAnsi="Century Gothic" w:cs="Times New Roman"/>
          <w:sz w:val="20"/>
          <w:szCs w:val="19"/>
          <w:lang w:eastAsia="en-CA"/>
        </w:rPr>
      </w:pPr>
    </w:p>
    <w:p w14:paraId="22528462" w14:textId="16E58D55" w:rsidR="009A65EF" w:rsidRPr="00D333C0" w:rsidRDefault="009A65EF" w:rsidP="009F7CF2">
      <w:pPr>
        <w:spacing w:after="0" w:line="240" w:lineRule="auto"/>
        <w:rPr>
          <w:rFonts w:ascii="Century Gothic" w:hAnsi="Century Gothic" w:cs="Times New Roman"/>
          <w:sz w:val="20"/>
          <w:szCs w:val="19"/>
        </w:rPr>
      </w:pPr>
      <w:r w:rsidRPr="00D333C0">
        <w:rPr>
          <w:rFonts w:ascii="Century Gothic" w:hAnsi="Century Gothic"/>
          <w:color w:val="000000"/>
          <w:sz w:val="20"/>
          <w:szCs w:val="19"/>
          <w:lang w:eastAsia="en-CA"/>
        </w:rPr>
        <w:t>L</w:t>
      </w:r>
      <w:r w:rsidR="00932ED2" w:rsidRPr="00D333C0">
        <w:rPr>
          <w:rFonts w:ascii="Century Gothic" w:hAnsi="Century Gothic"/>
          <w:color w:val="000000"/>
          <w:sz w:val="20"/>
          <w:szCs w:val="19"/>
          <w:lang w:eastAsia="en-CA"/>
        </w:rPr>
        <w:t>’</w:t>
      </w:r>
      <w:r w:rsidRPr="00D333C0">
        <w:rPr>
          <w:rFonts w:ascii="Century Gothic" w:hAnsi="Century Gothic"/>
          <w:color w:val="000000"/>
          <w:sz w:val="20"/>
          <w:szCs w:val="19"/>
          <w:lang w:eastAsia="en-CA"/>
        </w:rPr>
        <w:t>ARC est généralement d</w:t>
      </w:r>
      <w:r w:rsidR="00932ED2" w:rsidRPr="00D333C0">
        <w:rPr>
          <w:rFonts w:ascii="Century Gothic" w:hAnsi="Century Gothic"/>
          <w:color w:val="000000"/>
          <w:sz w:val="20"/>
          <w:szCs w:val="19"/>
          <w:lang w:eastAsia="en-CA"/>
        </w:rPr>
        <w:t>’</w:t>
      </w:r>
      <w:r w:rsidRPr="00D333C0">
        <w:rPr>
          <w:rFonts w:ascii="Century Gothic" w:hAnsi="Century Gothic"/>
          <w:color w:val="000000"/>
          <w:sz w:val="20"/>
          <w:szCs w:val="19"/>
          <w:lang w:eastAsia="en-CA"/>
        </w:rPr>
        <w:t>avis que ces opérations sont effectuées principalement pour obtenir un avantage fiscal et qu</w:t>
      </w:r>
      <w:r w:rsidR="00932ED2" w:rsidRPr="00D333C0">
        <w:rPr>
          <w:rFonts w:ascii="Century Gothic" w:hAnsi="Century Gothic"/>
          <w:color w:val="000000"/>
          <w:sz w:val="20"/>
          <w:szCs w:val="19"/>
          <w:lang w:eastAsia="en-CA"/>
        </w:rPr>
        <w:t>’</w:t>
      </w:r>
      <w:r w:rsidRPr="00D333C0">
        <w:rPr>
          <w:rFonts w:ascii="Century Gothic" w:hAnsi="Century Gothic"/>
          <w:color w:val="000000"/>
          <w:sz w:val="20"/>
          <w:szCs w:val="19"/>
          <w:lang w:eastAsia="en-CA"/>
        </w:rPr>
        <w:t>elles ne seraient pas conclues par des parties sans lien de dépendance.</w:t>
      </w:r>
      <w:r w:rsidRPr="00D333C0">
        <w:rPr>
          <w:rFonts w:ascii="Century Gothic" w:hAnsi="Century Gothic"/>
          <w:sz w:val="20"/>
          <w:szCs w:val="19"/>
          <w:lang w:eastAsia="en-CA"/>
        </w:rPr>
        <w:t xml:space="preserve"> </w:t>
      </w:r>
      <w:r w:rsidRPr="00D333C0">
        <w:rPr>
          <w:rFonts w:ascii="Century Gothic" w:hAnsi="Century Gothic"/>
          <w:color w:val="000000"/>
          <w:sz w:val="20"/>
          <w:szCs w:val="19"/>
          <w:lang w:eastAsia="en-CA"/>
        </w:rPr>
        <w:t>Lorsque l</w:t>
      </w:r>
      <w:r w:rsidR="00932ED2" w:rsidRPr="00D333C0">
        <w:rPr>
          <w:rFonts w:ascii="Century Gothic" w:hAnsi="Century Gothic"/>
          <w:color w:val="000000"/>
          <w:sz w:val="20"/>
          <w:szCs w:val="19"/>
          <w:lang w:eastAsia="en-CA"/>
        </w:rPr>
        <w:t>’</w:t>
      </w:r>
      <w:r w:rsidRPr="00D333C0">
        <w:rPr>
          <w:rFonts w:ascii="Century Gothic" w:hAnsi="Century Gothic"/>
          <w:color w:val="000000"/>
          <w:sz w:val="20"/>
          <w:szCs w:val="19"/>
          <w:lang w:eastAsia="en-CA"/>
        </w:rPr>
        <w:t>ARC découvre des opérations semblables à l</w:t>
      </w:r>
      <w:r w:rsidR="00932ED2" w:rsidRPr="00D333C0">
        <w:rPr>
          <w:rFonts w:ascii="Century Gothic" w:hAnsi="Century Gothic"/>
          <w:color w:val="000000"/>
          <w:sz w:val="20"/>
          <w:szCs w:val="19"/>
          <w:lang w:eastAsia="en-CA"/>
        </w:rPr>
        <w:t>’</w:t>
      </w:r>
      <w:r w:rsidRPr="00D333C0">
        <w:rPr>
          <w:rFonts w:ascii="Century Gothic" w:hAnsi="Century Gothic"/>
          <w:color w:val="000000"/>
          <w:sz w:val="20"/>
          <w:szCs w:val="19"/>
          <w:lang w:eastAsia="en-CA"/>
        </w:rPr>
        <w:t xml:space="preserve">exemple ci-dessous, elle consulte le Comité de revue des prix de transfert pour déterminer si les alinéas 247(2)b) </w:t>
      </w:r>
      <w:bookmarkStart w:id="0" w:name="_GoBack"/>
      <w:bookmarkEnd w:id="0"/>
      <w:r w:rsidRPr="00D333C0">
        <w:rPr>
          <w:rFonts w:ascii="Century Gothic" w:hAnsi="Century Gothic"/>
          <w:color w:val="000000"/>
          <w:sz w:val="20"/>
          <w:szCs w:val="19"/>
          <w:lang w:eastAsia="en-CA"/>
        </w:rPr>
        <w:t>et d) s</w:t>
      </w:r>
      <w:r w:rsidR="00932ED2" w:rsidRPr="00D333C0">
        <w:rPr>
          <w:rFonts w:ascii="Century Gothic" w:hAnsi="Century Gothic"/>
          <w:color w:val="000000"/>
          <w:sz w:val="20"/>
          <w:szCs w:val="19"/>
          <w:lang w:eastAsia="en-CA"/>
        </w:rPr>
        <w:t>’</w:t>
      </w:r>
      <w:r w:rsidRPr="00D333C0">
        <w:rPr>
          <w:rFonts w:ascii="Century Gothic" w:hAnsi="Century Gothic"/>
          <w:color w:val="000000"/>
          <w:sz w:val="20"/>
          <w:szCs w:val="19"/>
          <w:lang w:eastAsia="en-CA"/>
        </w:rPr>
        <w:t>appliquent. S</w:t>
      </w:r>
      <w:r w:rsidR="00932ED2" w:rsidRPr="00D333C0">
        <w:rPr>
          <w:rFonts w:ascii="Century Gothic" w:hAnsi="Century Gothic"/>
          <w:color w:val="000000"/>
          <w:sz w:val="20"/>
          <w:szCs w:val="19"/>
          <w:lang w:eastAsia="en-CA"/>
        </w:rPr>
        <w:t>’</w:t>
      </w:r>
      <w:r w:rsidRPr="00D333C0">
        <w:rPr>
          <w:rFonts w:ascii="Century Gothic" w:hAnsi="Century Gothic"/>
          <w:color w:val="000000"/>
          <w:sz w:val="20"/>
          <w:szCs w:val="19"/>
          <w:lang w:eastAsia="en-CA"/>
        </w:rPr>
        <w:t>ils s</w:t>
      </w:r>
      <w:r w:rsidR="00932ED2" w:rsidRPr="00D333C0">
        <w:rPr>
          <w:rFonts w:ascii="Century Gothic" w:hAnsi="Century Gothic"/>
          <w:color w:val="000000"/>
          <w:sz w:val="20"/>
          <w:szCs w:val="19"/>
          <w:lang w:eastAsia="en-CA"/>
        </w:rPr>
        <w:t>’</w:t>
      </w:r>
      <w:r w:rsidRPr="00D333C0">
        <w:rPr>
          <w:rFonts w:ascii="Century Gothic" w:hAnsi="Century Gothic"/>
          <w:color w:val="000000"/>
          <w:sz w:val="20"/>
          <w:szCs w:val="19"/>
          <w:lang w:eastAsia="en-CA"/>
        </w:rPr>
        <w:t>appliquent, des pénalités sont imposées puisqu</w:t>
      </w:r>
      <w:r w:rsidR="00932ED2" w:rsidRPr="00D333C0">
        <w:rPr>
          <w:rFonts w:ascii="Century Gothic" w:hAnsi="Century Gothic"/>
          <w:color w:val="000000"/>
          <w:sz w:val="20"/>
          <w:szCs w:val="19"/>
          <w:lang w:eastAsia="en-CA"/>
        </w:rPr>
        <w:t>’</w:t>
      </w:r>
      <w:r w:rsidRPr="00D333C0">
        <w:rPr>
          <w:rFonts w:ascii="Century Gothic" w:hAnsi="Century Gothic"/>
          <w:color w:val="000000"/>
          <w:sz w:val="20"/>
          <w:szCs w:val="19"/>
          <w:lang w:eastAsia="en-CA"/>
        </w:rPr>
        <w:t>il sera considéré que les contribuables qui participent à ce type de planification n</w:t>
      </w:r>
      <w:r w:rsidR="00932ED2" w:rsidRPr="00D333C0">
        <w:rPr>
          <w:rFonts w:ascii="Century Gothic" w:hAnsi="Century Gothic"/>
          <w:color w:val="000000"/>
          <w:sz w:val="20"/>
          <w:szCs w:val="19"/>
          <w:lang w:eastAsia="en-CA"/>
        </w:rPr>
        <w:t>’</w:t>
      </w:r>
      <w:r w:rsidRPr="00D333C0">
        <w:rPr>
          <w:rFonts w:ascii="Century Gothic" w:hAnsi="Century Gothic"/>
          <w:color w:val="000000"/>
          <w:sz w:val="20"/>
          <w:szCs w:val="19"/>
          <w:lang w:eastAsia="en-CA"/>
        </w:rPr>
        <w:t>ont pas fait d</w:t>
      </w:r>
      <w:r w:rsidR="00932ED2" w:rsidRPr="00D333C0">
        <w:rPr>
          <w:rFonts w:ascii="Century Gothic" w:hAnsi="Century Gothic"/>
          <w:color w:val="000000"/>
          <w:sz w:val="20"/>
          <w:szCs w:val="19"/>
          <w:lang w:eastAsia="en-CA"/>
        </w:rPr>
        <w:t>’</w:t>
      </w:r>
      <w:r w:rsidRPr="00D333C0">
        <w:rPr>
          <w:rFonts w:ascii="Century Gothic" w:hAnsi="Century Gothic"/>
          <w:color w:val="000000"/>
          <w:sz w:val="20"/>
          <w:szCs w:val="19"/>
          <w:lang w:eastAsia="en-CA"/>
        </w:rPr>
        <w:t>efforts raisonnables afin d</w:t>
      </w:r>
      <w:r w:rsidR="00932ED2" w:rsidRPr="00D333C0">
        <w:rPr>
          <w:rFonts w:ascii="Century Gothic" w:hAnsi="Century Gothic"/>
          <w:color w:val="000000"/>
          <w:sz w:val="20"/>
          <w:szCs w:val="19"/>
          <w:lang w:eastAsia="en-CA"/>
        </w:rPr>
        <w:t>’</w:t>
      </w:r>
      <w:r w:rsidRPr="00D333C0">
        <w:rPr>
          <w:rFonts w:ascii="Century Gothic" w:hAnsi="Century Gothic"/>
          <w:color w:val="000000"/>
          <w:sz w:val="20"/>
          <w:szCs w:val="19"/>
          <w:lang w:eastAsia="en-CA"/>
        </w:rPr>
        <w:t>établir des modalités et des prix de pleine concurrence pour leur prix de transfert.</w:t>
      </w:r>
    </w:p>
    <w:p w14:paraId="52AD6696" w14:textId="16AAA569" w:rsidR="009A65EF" w:rsidRPr="00D333C0" w:rsidRDefault="009A65EF" w:rsidP="0088382B">
      <w:pPr>
        <w:spacing w:after="0" w:line="240" w:lineRule="auto"/>
        <w:rPr>
          <w:rFonts w:ascii="Century Gothic" w:hAnsi="Century Gothic" w:cs="Times New Roman"/>
          <w:sz w:val="20"/>
          <w:szCs w:val="19"/>
          <w:lang w:eastAsia="en-CA"/>
        </w:rPr>
      </w:pPr>
    </w:p>
    <w:p w14:paraId="10691DCE" w14:textId="4DA1A00C" w:rsidR="00914185" w:rsidRPr="00D333C0" w:rsidRDefault="00914185" w:rsidP="00914185">
      <w:pPr>
        <w:spacing w:after="0" w:line="240" w:lineRule="auto"/>
        <w:rPr>
          <w:rFonts w:ascii="Century Gothic" w:hAnsi="Century Gothic" w:cs="Times New Roman"/>
          <w:sz w:val="20"/>
          <w:szCs w:val="19"/>
        </w:rPr>
      </w:pPr>
      <w:r w:rsidRPr="00D333C0">
        <w:rPr>
          <w:rFonts w:ascii="Century Gothic" w:hAnsi="Century Gothic"/>
          <w:sz w:val="20"/>
          <w:szCs w:val="19"/>
        </w:rPr>
        <w:t>Les contribuables et leurs conseillers sont invités à communiquer avec leur gestionnaire de cas du Secteur international et des grandes entreprises ou avec la Direction du secteur international et des grandes entreprises de l</w:t>
      </w:r>
      <w:r w:rsidR="00932ED2" w:rsidRPr="00D333C0">
        <w:rPr>
          <w:rFonts w:ascii="Century Gothic" w:hAnsi="Century Gothic"/>
          <w:sz w:val="20"/>
          <w:szCs w:val="19"/>
        </w:rPr>
        <w:t>’</w:t>
      </w:r>
      <w:r w:rsidRPr="00D333C0">
        <w:rPr>
          <w:rFonts w:ascii="Century Gothic" w:hAnsi="Century Gothic"/>
          <w:sz w:val="20"/>
          <w:szCs w:val="19"/>
        </w:rPr>
        <w:t>A</w:t>
      </w:r>
      <w:r w:rsidR="004119D3" w:rsidRPr="00D333C0">
        <w:rPr>
          <w:rFonts w:ascii="Century Gothic" w:hAnsi="Century Gothic"/>
          <w:sz w:val="20"/>
          <w:szCs w:val="19"/>
        </w:rPr>
        <w:t>RC</w:t>
      </w:r>
      <w:r w:rsidRPr="00D333C0">
        <w:rPr>
          <w:rFonts w:ascii="Century Gothic" w:hAnsi="Century Gothic"/>
          <w:sz w:val="20"/>
          <w:szCs w:val="19"/>
        </w:rPr>
        <w:t xml:space="preserve"> pour obtenir de plus amples renseignements.</w:t>
      </w:r>
    </w:p>
    <w:p w14:paraId="6145712A" w14:textId="04988BBC" w:rsidR="0088382B" w:rsidRPr="0016329B" w:rsidRDefault="008D02A5" w:rsidP="0016329B">
      <w:pPr>
        <w:spacing w:after="0" w:line="240" w:lineRule="auto"/>
        <w:jc w:val="center"/>
        <w:rPr>
          <w:rFonts w:ascii="Century Gothic" w:hAnsi="Century Gothic" w:cs="Times New Roman"/>
          <w:sz w:val="20"/>
          <w:szCs w:val="19"/>
          <w:highlight w:val="yellow"/>
          <w:lang w:eastAsia="en-CA"/>
        </w:rPr>
      </w:pPr>
      <w:r>
        <w:rPr>
          <w:noProof/>
          <w:lang w:val="en-CA" w:eastAsia="en-CA"/>
        </w:rPr>
        <w:drawing>
          <wp:inline distT="0" distB="0" distL="0" distR="0" wp14:anchorId="13E74384" wp14:editId="2A15DA4C">
            <wp:extent cx="5229225" cy="343852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229225" cy="3438525"/>
                    </a:xfrm>
                    <a:prstGeom prst="rect">
                      <a:avLst/>
                    </a:prstGeom>
                  </pic:spPr>
                </pic:pic>
              </a:graphicData>
            </a:graphic>
          </wp:inline>
        </w:drawing>
      </w:r>
    </w:p>
    <w:sectPr w:rsidR="0088382B" w:rsidRPr="0016329B" w:rsidSect="00D333C0">
      <w:pgSz w:w="12240" w:h="15840"/>
      <w:pgMar w:top="539" w:right="1440" w:bottom="1" w:left="108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EC9644" w14:textId="77777777" w:rsidR="00AC631A" w:rsidRDefault="00AC631A" w:rsidP="009F7CF2">
      <w:pPr>
        <w:spacing w:after="0" w:line="240" w:lineRule="auto"/>
      </w:pPr>
      <w:r>
        <w:separator/>
      </w:r>
    </w:p>
  </w:endnote>
  <w:endnote w:type="continuationSeparator" w:id="0">
    <w:p w14:paraId="2248A785" w14:textId="77777777" w:rsidR="00AC631A" w:rsidRDefault="00AC631A" w:rsidP="009F7C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Calisto MT"/>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altName w:val="Calisto MT"/>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F80183" w14:textId="77777777" w:rsidR="00AC631A" w:rsidRDefault="00AC631A" w:rsidP="009F7CF2">
      <w:pPr>
        <w:spacing w:after="0" w:line="240" w:lineRule="auto"/>
      </w:pPr>
      <w:r>
        <w:separator/>
      </w:r>
    </w:p>
  </w:footnote>
  <w:footnote w:type="continuationSeparator" w:id="0">
    <w:p w14:paraId="473AF854" w14:textId="77777777" w:rsidR="00AC631A" w:rsidRDefault="00AC631A" w:rsidP="009F7C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alt="YouTube icon" style="width:12pt;height:12pt;visibility:visible;mso-wrap-style:square" o:bullet="t">
        <v:imagedata r:id="rId1" o:title="YouTube icon"/>
      </v:shape>
    </w:pict>
  </w:numPicBullet>
  <w:abstractNum w:abstractNumId="0" w15:restartNumberingAfterBreak="0">
    <w:nsid w:val="1F937D28"/>
    <w:multiLevelType w:val="hybridMultilevel"/>
    <w:tmpl w:val="F550BCAE"/>
    <w:lvl w:ilvl="0" w:tplc="E81613A8">
      <w:start w:val="1"/>
      <w:numFmt w:val="bullet"/>
      <w:lvlText w:val=""/>
      <w:lvlJc w:val="left"/>
      <w:pPr>
        <w:ind w:left="720" w:hanging="360"/>
      </w:pPr>
      <w:rPr>
        <w:rFonts w:ascii="Symbol" w:hAnsi="Symbol" w:hint="default"/>
        <w:color w:val="000000"/>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 w15:restartNumberingAfterBreak="0">
    <w:nsid w:val="2C186289"/>
    <w:multiLevelType w:val="hybridMultilevel"/>
    <w:tmpl w:val="D8D4DA3C"/>
    <w:lvl w:ilvl="0" w:tplc="B9AED71A">
      <w:start w:val="2017"/>
      <w:numFmt w:val="bullet"/>
      <w:lvlText w:val=""/>
      <w:lvlJc w:val="left"/>
      <w:pPr>
        <w:ind w:left="720" w:hanging="360"/>
      </w:pPr>
      <w:rPr>
        <w:rFonts w:ascii="Symbol" w:eastAsiaTheme="minorHAnsi" w:hAnsi="Symbol"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D821B41"/>
    <w:multiLevelType w:val="hybridMultilevel"/>
    <w:tmpl w:val="811697B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39C9021C"/>
    <w:multiLevelType w:val="multilevel"/>
    <w:tmpl w:val="8E24A002"/>
    <w:lvl w:ilvl="0">
      <w:start w:val="1"/>
      <w:numFmt w:val="bullet"/>
      <w:lvlText w:val=""/>
      <w:lvlJc w:val="left"/>
      <w:pPr>
        <w:tabs>
          <w:tab w:val="num" w:pos="785"/>
        </w:tabs>
        <w:ind w:left="720" w:hanging="363"/>
      </w:pPr>
      <w:rPr>
        <w:rFonts w:ascii="Symbol" w:hAnsi="Symbol" w:hint="default"/>
        <w:sz w:val="20"/>
      </w:rPr>
    </w:lvl>
    <w:lvl w:ilvl="1">
      <w:start w:val="1"/>
      <w:numFmt w:val="bullet"/>
      <w:lvlText w:val="o"/>
      <w:lvlJc w:val="left"/>
      <w:pPr>
        <w:tabs>
          <w:tab w:val="num" w:pos="1505"/>
        </w:tabs>
        <w:ind w:left="1505" w:hanging="360"/>
      </w:pPr>
      <w:rPr>
        <w:rFonts w:ascii="Courier New" w:hAnsi="Courier New" w:hint="default"/>
        <w:sz w:val="20"/>
      </w:rPr>
    </w:lvl>
    <w:lvl w:ilvl="2">
      <w:start w:val="1"/>
      <w:numFmt w:val="bullet"/>
      <w:lvlText w:val=""/>
      <w:lvlJc w:val="left"/>
      <w:pPr>
        <w:tabs>
          <w:tab w:val="num" w:pos="2225"/>
        </w:tabs>
        <w:ind w:left="2225" w:hanging="360"/>
      </w:pPr>
      <w:rPr>
        <w:rFonts w:ascii="Wingdings" w:hAnsi="Wingdings" w:hint="default"/>
        <w:sz w:val="20"/>
      </w:rPr>
    </w:lvl>
    <w:lvl w:ilvl="3">
      <w:start w:val="1"/>
      <w:numFmt w:val="bullet"/>
      <w:lvlText w:val=""/>
      <w:lvlJc w:val="left"/>
      <w:pPr>
        <w:tabs>
          <w:tab w:val="num" w:pos="2945"/>
        </w:tabs>
        <w:ind w:left="2945" w:hanging="360"/>
      </w:pPr>
      <w:rPr>
        <w:rFonts w:ascii="Wingdings" w:hAnsi="Wingdings" w:hint="default"/>
        <w:sz w:val="20"/>
      </w:rPr>
    </w:lvl>
    <w:lvl w:ilvl="4">
      <w:start w:val="1"/>
      <w:numFmt w:val="bullet"/>
      <w:lvlText w:val=""/>
      <w:lvlJc w:val="left"/>
      <w:pPr>
        <w:tabs>
          <w:tab w:val="num" w:pos="3665"/>
        </w:tabs>
        <w:ind w:left="3665" w:hanging="360"/>
      </w:pPr>
      <w:rPr>
        <w:rFonts w:ascii="Wingdings" w:hAnsi="Wingdings" w:hint="default"/>
        <w:sz w:val="20"/>
      </w:rPr>
    </w:lvl>
    <w:lvl w:ilvl="5">
      <w:start w:val="1"/>
      <w:numFmt w:val="bullet"/>
      <w:lvlText w:val=""/>
      <w:lvlJc w:val="left"/>
      <w:pPr>
        <w:tabs>
          <w:tab w:val="num" w:pos="4385"/>
        </w:tabs>
        <w:ind w:left="4385" w:hanging="360"/>
      </w:pPr>
      <w:rPr>
        <w:rFonts w:ascii="Wingdings" w:hAnsi="Wingdings" w:hint="default"/>
        <w:sz w:val="20"/>
      </w:rPr>
    </w:lvl>
    <w:lvl w:ilvl="6">
      <w:start w:val="1"/>
      <w:numFmt w:val="bullet"/>
      <w:lvlText w:val=""/>
      <w:lvlJc w:val="left"/>
      <w:pPr>
        <w:tabs>
          <w:tab w:val="num" w:pos="5105"/>
        </w:tabs>
        <w:ind w:left="5105" w:hanging="360"/>
      </w:pPr>
      <w:rPr>
        <w:rFonts w:ascii="Wingdings" w:hAnsi="Wingdings" w:hint="default"/>
        <w:sz w:val="20"/>
      </w:rPr>
    </w:lvl>
    <w:lvl w:ilvl="7">
      <w:start w:val="1"/>
      <w:numFmt w:val="bullet"/>
      <w:lvlText w:val=""/>
      <w:lvlJc w:val="left"/>
      <w:pPr>
        <w:tabs>
          <w:tab w:val="num" w:pos="5825"/>
        </w:tabs>
        <w:ind w:left="5825" w:hanging="360"/>
      </w:pPr>
      <w:rPr>
        <w:rFonts w:ascii="Wingdings" w:hAnsi="Wingdings" w:hint="default"/>
        <w:sz w:val="20"/>
      </w:rPr>
    </w:lvl>
    <w:lvl w:ilvl="8">
      <w:start w:val="1"/>
      <w:numFmt w:val="bullet"/>
      <w:lvlText w:val=""/>
      <w:lvlJc w:val="left"/>
      <w:pPr>
        <w:tabs>
          <w:tab w:val="num" w:pos="6545"/>
        </w:tabs>
        <w:ind w:left="6545" w:hanging="360"/>
      </w:pPr>
      <w:rPr>
        <w:rFonts w:ascii="Wingdings" w:hAnsi="Wingdings" w:hint="default"/>
        <w:sz w:val="20"/>
      </w:rPr>
    </w:lvl>
  </w:abstractNum>
  <w:abstractNum w:abstractNumId="4" w15:restartNumberingAfterBreak="0">
    <w:nsid w:val="4C395A27"/>
    <w:multiLevelType w:val="multilevel"/>
    <w:tmpl w:val="B2700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CFA4759"/>
    <w:multiLevelType w:val="multilevel"/>
    <w:tmpl w:val="CC986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F07152A"/>
    <w:multiLevelType w:val="hybridMultilevel"/>
    <w:tmpl w:val="225A4DA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50301788"/>
    <w:multiLevelType w:val="multilevel"/>
    <w:tmpl w:val="E662C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3F25881"/>
    <w:multiLevelType w:val="hybridMultilevel"/>
    <w:tmpl w:val="4D9CE4A2"/>
    <w:lvl w:ilvl="0" w:tplc="10090001">
      <w:start w:val="1"/>
      <w:numFmt w:val="bullet"/>
      <w:lvlText w:val=""/>
      <w:lvlJc w:val="left"/>
      <w:pPr>
        <w:ind w:left="792" w:hanging="360"/>
      </w:pPr>
      <w:rPr>
        <w:rFonts w:ascii="Symbol" w:hAnsi="Symbol" w:hint="default"/>
      </w:rPr>
    </w:lvl>
    <w:lvl w:ilvl="1" w:tplc="10090003" w:tentative="1">
      <w:start w:val="1"/>
      <w:numFmt w:val="bullet"/>
      <w:lvlText w:val="o"/>
      <w:lvlJc w:val="left"/>
      <w:pPr>
        <w:ind w:left="1512" w:hanging="360"/>
      </w:pPr>
      <w:rPr>
        <w:rFonts w:ascii="Courier New" w:hAnsi="Courier New" w:cs="Courier New" w:hint="default"/>
      </w:rPr>
    </w:lvl>
    <w:lvl w:ilvl="2" w:tplc="10090005" w:tentative="1">
      <w:start w:val="1"/>
      <w:numFmt w:val="bullet"/>
      <w:lvlText w:val=""/>
      <w:lvlJc w:val="left"/>
      <w:pPr>
        <w:ind w:left="2232" w:hanging="360"/>
      </w:pPr>
      <w:rPr>
        <w:rFonts w:ascii="Wingdings" w:hAnsi="Wingdings" w:hint="default"/>
      </w:rPr>
    </w:lvl>
    <w:lvl w:ilvl="3" w:tplc="10090001" w:tentative="1">
      <w:start w:val="1"/>
      <w:numFmt w:val="bullet"/>
      <w:lvlText w:val=""/>
      <w:lvlJc w:val="left"/>
      <w:pPr>
        <w:ind w:left="2952" w:hanging="360"/>
      </w:pPr>
      <w:rPr>
        <w:rFonts w:ascii="Symbol" w:hAnsi="Symbol" w:hint="default"/>
      </w:rPr>
    </w:lvl>
    <w:lvl w:ilvl="4" w:tplc="10090003" w:tentative="1">
      <w:start w:val="1"/>
      <w:numFmt w:val="bullet"/>
      <w:lvlText w:val="o"/>
      <w:lvlJc w:val="left"/>
      <w:pPr>
        <w:ind w:left="3672" w:hanging="360"/>
      </w:pPr>
      <w:rPr>
        <w:rFonts w:ascii="Courier New" w:hAnsi="Courier New" w:cs="Courier New" w:hint="default"/>
      </w:rPr>
    </w:lvl>
    <w:lvl w:ilvl="5" w:tplc="10090005" w:tentative="1">
      <w:start w:val="1"/>
      <w:numFmt w:val="bullet"/>
      <w:lvlText w:val=""/>
      <w:lvlJc w:val="left"/>
      <w:pPr>
        <w:ind w:left="4392" w:hanging="360"/>
      </w:pPr>
      <w:rPr>
        <w:rFonts w:ascii="Wingdings" w:hAnsi="Wingdings" w:hint="default"/>
      </w:rPr>
    </w:lvl>
    <w:lvl w:ilvl="6" w:tplc="10090001" w:tentative="1">
      <w:start w:val="1"/>
      <w:numFmt w:val="bullet"/>
      <w:lvlText w:val=""/>
      <w:lvlJc w:val="left"/>
      <w:pPr>
        <w:ind w:left="5112" w:hanging="360"/>
      </w:pPr>
      <w:rPr>
        <w:rFonts w:ascii="Symbol" w:hAnsi="Symbol" w:hint="default"/>
      </w:rPr>
    </w:lvl>
    <w:lvl w:ilvl="7" w:tplc="10090003" w:tentative="1">
      <w:start w:val="1"/>
      <w:numFmt w:val="bullet"/>
      <w:lvlText w:val="o"/>
      <w:lvlJc w:val="left"/>
      <w:pPr>
        <w:ind w:left="5832" w:hanging="360"/>
      </w:pPr>
      <w:rPr>
        <w:rFonts w:ascii="Courier New" w:hAnsi="Courier New" w:cs="Courier New" w:hint="default"/>
      </w:rPr>
    </w:lvl>
    <w:lvl w:ilvl="8" w:tplc="10090005" w:tentative="1">
      <w:start w:val="1"/>
      <w:numFmt w:val="bullet"/>
      <w:lvlText w:val=""/>
      <w:lvlJc w:val="left"/>
      <w:pPr>
        <w:ind w:left="6552" w:hanging="360"/>
      </w:pPr>
      <w:rPr>
        <w:rFonts w:ascii="Wingdings" w:hAnsi="Wingdings" w:hint="default"/>
      </w:rPr>
    </w:lvl>
  </w:abstractNum>
  <w:num w:numId="1">
    <w:abstractNumId w:val="5"/>
  </w:num>
  <w:num w:numId="2">
    <w:abstractNumId w:val="4"/>
  </w:num>
  <w:num w:numId="3">
    <w:abstractNumId w:val="7"/>
  </w:num>
  <w:num w:numId="4">
    <w:abstractNumId w:val="3"/>
  </w:num>
  <w:num w:numId="5">
    <w:abstractNumId w:val="8"/>
  </w:num>
  <w:num w:numId="6">
    <w:abstractNumId w:val="2"/>
  </w:num>
  <w:num w:numId="7">
    <w:abstractNumId w:val="4"/>
  </w:num>
  <w:num w:numId="8">
    <w:abstractNumId w:val="0"/>
  </w:num>
  <w:num w:numId="9">
    <w:abstractNumId w:val="1"/>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CA" w:vendorID="64" w:dllVersion="131078" w:nlCheck="1" w:checkStyle="0"/>
  <w:activeWritingStyle w:appName="MSWord" w:lang="en-US" w:vendorID="64" w:dllVersion="131078" w:nlCheck="1" w:checkStyle="1"/>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fra"/>
    <w:docVar w:name="TermBases" w:val="Empty"/>
    <w:docVar w:name="TermBaseURL" w:val="empty"/>
    <w:docVar w:name="TextBases" w:val="TextBase TMs\CPB-DGPO\Restricted-Accès limité\CPB-DGPO R-AL|TextBase TMs\CPB-DGPO\Shared-Partagé\CPB-LSU|TextBase TMs\PAB-DGAP\Shared-Partagé\EACprojectT1|TextBase TMs\PAB-DGAP\Shared-Partagé\PAB 2017|TextBase TMs\PAB-DGAP\Shared-Partagé\PAB 2018"/>
    <w:docVar w:name="TextBaseURL" w:val="empty"/>
    <w:docVar w:name="UILng" w:val="en"/>
  </w:docVars>
  <w:rsids>
    <w:rsidRoot w:val="009919B5"/>
    <w:rsid w:val="000006D8"/>
    <w:rsid w:val="00023F3E"/>
    <w:rsid w:val="000660C7"/>
    <w:rsid w:val="000716A7"/>
    <w:rsid w:val="000A30A5"/>
    <w:rsid w:val="000D117E"/>
    <w:rsid w:val="000E0AAE"/>
    <w:rsid w:val="000F2F28"/>
    <w:rsid w:val="001013F3"/>
    <w:rsid w:val="00102393"/>
    <w:rsid w:val="00103B8E"/>
    <w:rsid w:val="00110CEE"/>
    <w:rsid w:val="0012286C"/>
    <w:rsid w:val="00143261"/>
    <w:rsid w:val="0016329B"/>
    <w:rsid w:val="0016402E"/>
    <w:rsid w:val="0018349E"/>
    <w:rsid w:val="001A0A8B"/>
    <w:rsid w:val="001B7428"/>
    <w:rsid w:val="001F129D"/>
    <w:rsid w:val="00244E0F"/>
    <w:rsid w:val="002934D7"/>
    <w:rsid w:val="0029714B"/>
    <w:rsid w:val="002A4E74"/>
    <w:rsid w:val="002C5E73"/>
    <w:rsid w:val="002D5F36"/>
    <w:rsid w:val="002E1AB4"/>
    <w:rsid w:val="00323B98"/>
    <w:rsid w:val="00326F34"/>
    <w:rsid w:val="00362045"/>
    <w:rsid w:val="00377526"/>
    <w:rsid w:val="0038170F"/>
    <w:rsid w:val="003B4EBB"/>
    <w:rsid w:val="003B7DAF"/>
    <w:rsid w:val="003C0778"/>
    <w:rsid w:val="003D61DA"/>
    <w:rsid w:val="004119D3"/>
    <w:rsid w:val="00423D33"/>
    <w:rsid w:val="00457AD3"/>
    <w:rsid w:val="00462429"/>
    <w:rsid w:val="0048677F"/>
    <w:rsid w:val="004B0387"/>
    <w:rsid w:val="004B1790"/>
    <w:rsid w:val="004B43EA"/>
    <w:rsid w:val="004E69B4"/>
    <w:rsid w:val="004E7436"/>
    <w:rsid w:val="004F50C9"/>
    <w:rsid w:val="00514249"/>
    <w:rsid w:val="0055633D"/>
    <w:rsid w:val="0056612D"/>
    <w:rsid w:val="00566B1A"/>
    <w:rsid w:val="00597CC8"/>
    <w:rsid w:val="005A2A27"/>
    <w:rsid w:val="005A3142"/>
    <w:rsid w:val="005A776B"/>
    <w:rsid w:val="005B0503"/>
    <w:rsid w:val="005D230B"/>
    <w:rsid w:val="005E0059"/>
    <w:rsid w:val="005F31E6"/>
    <w:rsid w:val="00615122"/>
    <w:rsid w:val="00647C76"/>
    <w:rsid w:val="00684B1F"/>
    <w:rsid w:val="00695B02"/>
    <w:rsid w:val="006A0567"/>
    <w:rsid w:val="006D010C"/>
    <w:rsid w:val="006D3455"/>
    <w:rsid w:val="006E02AD"/>
    <w:rsid w:val="006F0A96"/>
    <w:rsid w:val="00712E39"/>
    <w:rsid w:val="00724920"/>
    <w:rsid w:val="00741428"/>
    <w:rsid w:val="00745B01"/>
    <w:rsid w:val="00746D98"/>
    <w:rsid w:val="00780639"/>
    <w:rsid w:val="007819B7"/>
    <w:rsid w:val="007B69DB"/>
    <w:rsid w:val="007C2761"/>
    <w:rsid w:val="00804EC2"/>
    <w:rsid w:val="00813642"/>
    <w:rsid w:val="00814AD5"/>
    <w:rsid w:val="008303AC"/>
    <w:rsid w:val="008315AE"/>
    <w:rsid w:val="00857691"/>
    <w:rsid w:val="00875422"/>
    <w:rsid w:val="0088382B"/>
    <w:rsid w:val="00891F8D"/>
    <w:rsid w:val="008D02A5"/>
    <w:rsid w:val="009055B0"/>
    <w:rsid w:val="00914185"/>
    <w:rsid w:val="00925DC4"/>
    <w:rsid w:val="00932ED2"/>
    <w:rsid w:val="00984F44"/>
    <w:rsid w:val="009918B7"/>
    <w:rsid w:val="009919B5"/>
    <w:rsid w:val="009939F8"/>
    <w:rsid w:val="009A65EF"/>
    <w:rsid w:val="009F7CF2"/>
    <w:rsid w:val="00A70FE6"/>
    <w:rsid w:val="00A830F1"/>
    <w:rsid w:val="00AA095C"/>
    <w:rsid w:val="00AA5363"/>
    <w:rsid w:val="00AC5416"/>
    <w:rsid w:val="00AC631A"/>
    <w:rsid w:val="00B0173E"/>
    <w:rsid w:val="00B10965"/>
    <w:rsid w:val="00B117ED"/>
    <w:rsid w:val="00B3344C"/>
    <w:rsid w:val="00B3436B"/>
    <w:rsid w:val="00B478E4"/>
    <w:rsid w:val="00B851D6"/>
    <w:rsid w:val="00B856F7"/>
    <w:rsid w:val="00BC409A"/>
    <w:rsid w:val="00BF6AB4"/>
    <w:rsid w:val="00C029C1"/>
    <w:rsid w:val="00C24697"/>
    <w:rsid w:val="00C71BD4"/>
    <w:rsid w:val="00C97C5E"/>
    <w:rsid w:val="00CA5C1E"/>
    <w:rsid w:val="00D02B2D"/>
    <w:rsid w:val="00D04694"/>
    <w:rsid w:val="00D25737"/>
    <w:rsid w:val="00D333C0"/>
    <w:rsid w:val="00D6180F"/>
    <w:rsid w:val="00D65E9B"/>
    <w:rsid w:val="00D81394"/>
    <w:rsid w:val="00D9103C"/>
    <w:rsid w:val="00DC06C2"/>
    <w:rsid w:val="00DD11A5"/>
    <w:rsid w:val="00DD34F3"/>
    <w:rsid w:val="00E20D0A"/>
    <w:rsid w:val="00E2101E"/>
    <w:rsid w:val="00E45FFD"/>
    <w:rsid w:val="00E71273"/>
    <w:rsid w:val="00EA58EE"/>
    <w:rsid w:val="00EB7FFE"/>
    <w:rsid w:val="00F00188"/>
    <w:rsid w:val="00F0292C"/>
    <w:rsid w:val="00F45F32"/>
    <w:rsid w:val="00F903C0"/>
    <w:rsid w:val="00F925C2"/>
    <w:rsid w:val="00F97BBF"/>
    <w:rsid w:val="00FC102A"/>
    <w:rsid w:val="00FD35BE"/>
    <w:rsid w:val="00FE09DA"/>
    <w:rsid w:val="00FE549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C2017D"/>
  <w15:docId w15:val="{680CE2FC-C12F-4E0F-9BAA-310300515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2D5F36"/>
    <w:pPr>
      <w:spacing w:before="240" w:after="60" w:line="240" w:lineRule="auto"/>
      <w:outlineLvl w:val="0"/>
    </w:pPr>
    <w:rPr>
      <w:rFonts w:ascii="Times New Roman" w:eastAsia="Times New Roman" w:hAnsi="Times New Roman" w:cs="Times New Roman"/>
      <w:b/>
      <w:bCs/>
      <w:kern w:val="36"/>
      <w:sz w:val="41"/>
      <w:szCs w:val="41"/>
      <w:lang w:eastAsia="en-CA"/>
    </w:rPr>
  </w:style>
  <w:style w:type="paragraph" w:styleId="Heading2">
    <w:name w:val="heading 2"/>
    <w:basedOn w:val="Normal"/>
    <w:next w:val="Normal"/>
    <w:link w:val="Heading2Char"/>
    <w:uiPriority w:val="9"/>
    <w:unhideWhenUsed/>
    <w:qFormat/>
    <w:rsid w:val="002D5F3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919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19B5"/>
    <w:rPr>
      <w:rFonts w:ascii="Tahoma" w:hAnsi="Tahoma" w:cs="Tahoma"/>
      <w:sz w:val="16"/>
      <w:szCs w:val="16"/>
    </w:rPr>
  </w:style>
  <w:style w:type="paragraph" w:styleId="NormalWeb">
    <w:name w:val="Normal (Web)"/>
    <w:basedOn w:val="Normal"/>
    <w:uiPriority w:val="99"/>
    <w:unhideWhenUsed/>
    <w:rsid w:val="009919B5"/>
    <w:pPr>
      <w:spacing w:before="100" w:beforeAutospacing="1" w:after="100" w:afterAutospacing="1" w:line="240" w:lineRule="auto"/>
    </w:pPr>
    <w:rPr>
      <w:rFonts w:ascii="Times New Roman" w:hAnsi="Times New Roman" w:cs="Times New Roman"/>
      <w:sz w:val="24"/>
      <w:szCs w:val="24"/>
      <w:lang w:eastAsia="en-CA"/>
    </w:rPr>
  </w:style>
  <w:style w:type="character" w:styleId="Strong">
    <w:name w:val="Strong"/>
    <w:basedOn w:val="DefaultParagraphFont"/>
    <w:uiPriority w:val="22"/>
    <w:qFormat/>
    <w:rsid w:val="009919B5"/>
    <w:rPr>
      <w:b/>
      <w:bCs/>
    </w:rPr>
  </w:style>
  <w:style w:type="paragraph" w:styleId="NoteHeading">
    <w:name w:val="Note Heading"/>
    <w:basedOn w:val="Normal"/>
    <w:link w:val="NoteHeadingChar"/>
    <w:uiPriority w:val="99"/>
    <w:semiHidden/>
    <w:unhideWhenUsed/>
    <w:rsid w:val="009919B5"/>
    <w:rPr>
      <w:rFonts w:ascii="Calibri" w:hAnsi="Calibri" w:cs="Calibri"/>
    </w:rPr>
  </w:style>
  <w:style w:type="character" w:customStyle="1" w:styleId="NoteHeadingChar">
    <w:name w:val="Note Heading Char"/>
    <w:basedOn w:val="DefaultParagraphFont"/>
    <w:link w:val="NoteHeading"/>
    <w:uiPriority w:val="99"/>
    <w:semiHidden/>
    <w:rsid w:val="009919B5"/>
    <w:rPr>
      <w:rFonts w:ascii="Calibri" w:hAnsi="Calibri" w:cs="Calibri"/>
    </w:rPr>
  </w:style>
  <w:style w:type="character" w:customStyle="1" w:styleId="Heading1Char">
    <w:name w:val="Heading 1 Char"/>
    <w:basedOn w:val="DefaultParagraphFont"/>
    <w:link w:val="Heading1"/>
    <w:uiPriority w:val="9"/>
    <w:rsid w:val="002D5F36"/>
    <w:rPr>
      <w:rFonts w:ascii="Times New Roman" w:eastAsia="Times New Roman" w:hAnsi="Times New Roman" w:cs="Times New Roman"/>
      <w:b/>
      <w:bCs/>
      <w:kern w:val="36"/>
      <w:sz w:val="41"/>
      <w:szCs w:val="41"/>
      <w:lang w:eastAsia="en-CA"/>
    </w:rPr>
  </w:style>
  <w:style w:type="character" w:customStyle="1" w:styleId="Heading2Char">
    <w:name w:val="Heading 2 Char"/>
    <w:basedOn w:val="DefaultParagraphFont"/>
    <w:link w:val="Heading2"/>
    <w:uiPriority w:val="9"/>
    <w:rsid w:val="002D5F36"/>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2D5F36"/>
    <w:rPr>
      <w:color w:val="0000FF"/>
      <w:u w:val="single"/>
    </w:rPr>
  </w:style>
  <w:style w:type="character" w:styleId="Emphasis">
    <w:name w:val="Emphasis"/>
    <w:basedOn w:val="DefaultParagraphFont"/>
    <w:uiPriority w:val="20"/>
    <w:qFormat/>
    <w:rsid w:val="002D5F36"/>
    <w:rPr>
      <w:i/>
      <w:iCs/>
    </w:rPr>
  </w:style>
  <w:style w:type="paragraph" w:customStyle="1" w:styleId="align-center">
    <w:name w:val="align-center"/>
    <w:basedOn w:val="Normal"/>
    <w:rsid w:val="002D5F36"/>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FollowedHyperlink">
    <w:name w:val="FollowedHyperlink"/>
    <w:basedOn w:val="DefaultParagraphFont"/>
    <w:uiPriority w:val="99"/>
    <w:semiHidden/>
    <w:unhideWhenUsed/>
    <w:rsid w:val="00C24697"/>
    <w:rPr>
      <w:color w:val="800080" w:themeColor="followedHyperlink"/>
      <w:u w:val="single"/>
    </w:rPr>
  </w:style>
  <w:style w:type="paragraph" w:styleId="ListParagraph">
    <w:name w:val="List Paragraph"/>
    <w:basedOn w:val="Normal"/>
    <w:uiPriority w:val="34"/>
    <w:qFormat/>
    <w:rsid w:val="000006D8"/>
    <w:pPr>
      <w:spacing w:after="0" w:line="240" w:lineRule="auto"/>
      <w:ind w:left="720"/>
      <w:contextualSpacing/>
    </w:pPr>
    <w:rPr>
      <w:rFonts w:ascii="Calibri" w:eastAsia="Calibri" w:hAnsi="Calibri" w:cs="Calibri"/>
    </w:rPr>
  </w:style>
  <w:style w:type="character" w:customStyle="1" w:styleId="nowrap">
    <w:name w:val="nowrap"/>
    <w:basedOn w:val="DefaultParagraphFont"/>
    <w:rsid w:val="00323B98"/>
  </w:style>
  <w:style w:type="paragraph" w:styleId="Header">
    <w:name w:val="header"/>
    <w:basedOn w:val="Normal"/>
    <w:link w:val="HeaderChar"/>
    <w:uiPriority w:val="99"/>
    <w:unhideWhenUsed/>
    <w:rsid w:val="009F7C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7CF2"/>
  </w:style>
  <w:style w:type="paragraph" w:styleId="Footer">
    <w:name w:val="footer"/>
    <w:basedOn w:val="Normal"/>
    <w:link w:val="FooterChar"/>
    <w:uiPriority w:val="99"/>
    <w:unhideWhenUsed/>
    <w:rsid w:val="009F7C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7CF2"/>
  </w:style>
  <w:style w:type="character" w:styleId="CommentReference">
    <w:name w:val="annotation reference"/>
    <w:basedOn w:val="DefaultParagraphFont"/>
    <w:uiPriority w:val="99"/>
    <w:semiHidden/>
    <w:unhideWhenUsed/>
    <w:rsid w:val="00925DC4"/>
    <w:rPr>
      <w:sz w:val="16"/>
      <w:szCs w:val="16"/>
    </w:rPr>
  </w:style>
  <w:style w:type="paragraph" w:styleId="CommentText">
    <w:name w:val="annotation text"/>
    <w:basedOn w:val="Normal"/>
    <w:link w:val="CommentTextChar"/>
    <w:uiPriority w:val="99"/>
    <w:semiHidden/>
    <w:unhideWhenUsed/>
    <w:rsid w:val="00925DC4"/>
    <w:pPr>
      <w:spacing w:line="240" w:lineRule="auto"/>
    </w:pPr>
    <w:rPr>
      <w:sz w:val="20"/>
      <w:szCs w:val="20"/>
    </w:rPr>
  </w:style>
  <w:style w:type="character" w:customStyle="1" w:styleId="CommentTextChar">
    <w:name w:val="Comment Text Char"/>
    <w:basedOn w:val="DefaultParagraphFont"/>
    <w:link w:val="CommentText"/>
    <w:uiPriority w:val="99"/>
    <w:semiHidden/>
    <w:rsid w:val="00925DC4"/>
    <w:rPr>
      <w:sz w:val="20"/>
      <w:szCs w:val="20"/>
    </w:rPr>
  </w:style>
  <w:style w:type="paragraph" w:styleId="CommentSubject">
    <w:name w:val="annotation subject"/>
    <w:basedOn w:val="CommentText"/>
    <w:next w:val="CommentText"/>
    <w:link w:val="CommentSubjectChar"/>
    <w:uiPriority w:val="99"/>
    <w:semiHidden/>
    <w:unhideWhenUsed/>
    <w:rsid w:val="00925DC4"/>
    <w:rPr>
      <w:b/>
      <w:bCs/>
    </w:rPr>
  </w:style>
  <w:style w:type="character" w:customStyle="1" w:styleId="CommentSubjectChar">
    <w:name w:val="Comment Subject Char"/>
    <w:basedOn w:val="CommentTextChar"/>
    <w:link w:val="CommentSubject"/>
    <w:uiPriority w:val="99"/>
    <w:semiHidden/>
    <w:rsid w:val="00925DC4"/>
    <w:rPr>
      <w:b/>
      <w:bCs/>
      <w:sz w:val="20"/>
      <w:szCs w:val="20"/>
    </w:rPr>
  </w:style>
  <w:style w:type="paragraph" w:styleId="Revision">
    <w:name w:val="Revision"/>
    <w:hidden/>
    <w:uiPriority w:val="99"/>
    <w:semiHidden/>
    <w:rsid w:val="002A4E7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74911">
      <w:bodyDiv w:val="1"/>
      <w:marLeft w:val="0"/>
      <w:marRight w:val="0"/>
      <w:marTop w:val="0"/>
      <w:marBottom w:val="0"/>
      <w:divBdr>
        <w:top w:val="none" w:sz="0" w:space="0" w:color="auto"/>
        <w:left w:val="none" w:sz="0" w:space="0" w:color="auto"/>
        <w:bottom w:val="none" w:sz="0" w:space="0" w:color="auto"/>
        <w:right w:val="none" w:sz="0" w:space="0" w:color="auto"/>
      </w:divBdr>
    </w:div>
    <w:div w:id="42944652">
      <w:bodyDiv w:val="1"/>
      <w:marLeft w:val="0"/>
      <w:marRight w:val="0"/>
      <w:marTop w:val="0"/>
      <w:marBottom w:val="0"/>
      <w:divBdr>
        <w:top w:val="none" w:sz="0" w:space="0" w:color="auto"/>
        <w:left w:val="none" w:sz="0" w:space="0" w:color="auto"/>
        <w:bottom w:val="none" w:sz="0" w:space="0" w:color="auto"/>
        <w:right w:val="none" w:sz="0" w:space="0" w:color="auto"/>
      </w:divBdr>
    </w:div>
    <w:div w:id="90204053">
      <w:bodyDiv w:val="1"/>
      <w:marLeft w:val="0"/>
      <w:marRight w:val="0"/>
      <w:marTop w:val="0"/>
      <w:marBottom w:val="0"/>
      <w:divBdr>
        <w:top w:val="none" w:sz="0" w:space="0" w:color="auto"/>
        <w:left w:val="none" w:sz="0" w:space="0" w:color="auto"/>
        <w:bottom w:val="none" w:sz="0" w:space="0" w:color="auto"/>
        <w:right w:val="none" w:sz="0" w:space="0" w:color="auto"/>
      </w:divBdr>
    </w:div>
    <w:div w:id="105777355">
      <w:bodyDiv w:val="1"/>
      <w:marLeft w:val="0"/>
      <w:marRight w:val="0"/>
      <w:marTop w:val="0"/>
      <w:marBottom w:val="0"/>
      <w:divBdr>
        <w:top w:val="none" w:sz="0" w:space="0" w:color="auto"/>
        <w:left w:val="none" w:sz="0" w:space="0" w:color="auto"/>
        <w:bottom w:val="none" w:sz="0" w:space="0" w:color="auto"/>
        <w:right w:val="none" w:sz="0" w:space="0" w:color="auto"/>
      </w:divBdr>
    </w:div>
    <w:div w:id="136267027">
      <w:bodyDiv w:val="1"/>
      <w:marLeft w:val="0"/>
      <w:marRight w:val="0"/>
      <w:marTop w:val="0"/>
      <w:marBottom w:val="0"/>
      <w:divBdr>
        <w:top w:val="none" w:sz="0" w:space="0" w:color="auto"/>
        <w:left w:val="none" w:sz="0" w:space="0" w:color="auto"/>
        <w:bottom w:val="none" w:sz="0" w:space="0" w:color="auto"/>
        <w:right w:val="none" w:sz="0" w:space="0" w:color="auto"/>
      </w:divBdr>
    </w:div>
    <w:div w:id="440953017">
      <w:bodyDiv w:val="1"/>
      <w:marLeft w:val="0"/>
      <w:marRight w:val="0"/>
      <w:marTop w:val="0"/>
      <w:marBottom w:val="0"/>
      <w:divBdr>
        <w:top w:val="none" w:sz="0" w:space="0" w:color="auto"/>
        <w:left w:val="none" w:sz="0" w:space="0" w:color="auto"/>
        <w:bottom w:val="none" w:sz="0" w:space="0" w:color="auto"/>
        <w:right w:val="none" w:sz="0" w:space="0" w:color="auto"/>
      </w:divBdr>
    </w:div>
    <w:div w:id="564726424">
      <w:bodyDiv w:val="1"/>
      <w:marLeft w:val="0"/>
      <w:marRight w:val="0"/>
      <w:marTop w:val="0"/>
      <w:marBottom w:val="0"/>
      <w:divBdr>
        <w:top w:val="none" w:sz="0" w:space="0" w:color="auto"/>
        <w:left w:val="none" w:sz="0" w:space="0" w:color="auto"/>
        <w:bottom w:val="none" w:sz="0" w:space="0" w:color="auto"/>
        <w:right w:val="none" w:sz="0" w:space="0" w:color="auto"/>
      </w:divBdr>
    </w:div>
    <w:div w:id="619646407">
      <w:bodyDiv w:val="1"/>
      <w:marLeft w:val="0"/>
      <w:marRight w:val="0"/>
      <w:marTop w:val="0"/>
      <w:marBottom w:val="0"/>
      <w:divBdr>
        <w:top w:val="none" w:sz="0" w:space="0" w:color="auto"/>
        <w:left w:val="none" w:sz="0" w:space="0" w:color="auto"/>
        <w:bottom w:val="none" w:sz="0" w:space="0" w:color="auto"/>
        <w:right w:val="none" w:sz="0" w:space="0" w:color="auto"/>
      </w:divBdr>
      <w:divsChild>
        <w:div w:id="1158764431">
          <w:marLeft w:val="0"/>
          <w:marRight w:val="0"/>
          <w:marTop w:val="0"/>
          <w:marBottom w:val="0"/>
          <w:divBdr>
            <w:top w:val="none" w:sz="0" w:space="0" w:color="auto"/>
            <w:left w:val="none" w:sz="0" w:space="0" w:color="auto"/>
            <w:bottom w:val="none" w:sz="0" w:space="0" w:color="auto"/>
            <w:right w:val="none" w:sz="0" w:space="0" w:color="auto"/>
          </w:divBdr>
          <w:divsChild>
            <w:div w:id="551648700">
              <w:marLeft w:val="0"/>
              <w:marRight w:val="0"/>
              <w:marTop w:val="0"/>
              <w:marBottom w:val="0"/>
              <w:divBdr>
                <w:top w:val="none" w:sz="0" w:space="0" w:color="auto"/>
                <w:left w:val="none" w:sz="0" w:space="0" w:color="auto"/>
                <w:bottom w:val="none" w:sz="0" w:space="0" w:color="auto"/>
                <w:right w:val="none" w:sz="0" w:space="0" w:color="auto"/>
              </w:divBdr>
              <w:divsChild>
                <w:div w:id="817376423">
                  <w:marLeft w:val="0"/>
                  <w:marRight w:val="0"/>
                  <w:marTop w:val="0"/>
                  <w:marBottom w:val="0"/>
                  <w:divBdr>
                    <w:top w:val="none" w:sz="0" w:space="0" w:color="auto"/>
                    <w:left w:val="none" w:sz="0" w:space="0" w:color="auto"/>
                    <w:bottom w:val="none" w:sz="0" w:space="0" w:color="auto"/>
                    <w:right w:val="none" w:sz="0" w:space="0" w:color="auto"/>
                  </w:divBdr>
                  <w:divsChild>
                    <w:div w:id="2043168437">
                      <w:marLeft w:val="0"/>
                      <w:marRight w:val="0"/>
                      <w:marTop w:val="0"/>
                      <w:marBottom w:val="0"/>
                      <w:divBdr>
                        <w:top w:val="none" w:sz="0" w:space="0" w:color="auto"/>
                        <w:left w:val="none" w:sz="0" w:space="0" w:color="auto"/>
                        <w:bottom w:val="none" w:sz="0" w:space="0" w:color="auto"/>
                        <w:right w:val="none" w:sz="0" w:space="0" w:color="auto"/>
                      </w:divBdr>
                      <w:divsChild>
                        <w:div w:id="141925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8120622">
      <w:bodyDiv w:val="1"/>
      <w:marLeft w:val="0"/>
      <w:marRight w:val="0"/>
      <w:marTop w:val="0"/>
      <w:marBottom w:val="0"/>
      <w:divBdr>
        <w:top w:val="none" w:sz="0" w:space="0" w:color="auto"/>
        <w:left w:val="none" w:sz="0" w:space="0" w:color="auto"/>
        <w:bottom w:val="none" w:sz="0" w:space="0" w:color="auto"/>
        <w:right w:val="none" w:sz="0" w:space="0" w:color="auto"/>
      </w:divBdr>
    </w:div>
    <w:div w:id="693960955">
      <w:bodyDiv w:val="1"/>
      <w:marLeft w:val="0"/>
      <w:marRight w:val="0"/>
      <w:marTop w:val="0"/>
      <w:marBottom w:val="0"/>
      <w:divBdr>
        <w:top w:val="none" w:sz="0" w:space="0" w:color="auto"/>
        <w:left w:val="none" w:sz="0" w:space="0" w:color="auto"/>
        <w:bottom w:val="none" w:sz="0" w:space="0" w:color="auto"/>
        <w:right w:val="none" w:sz="0" w:space="0" w:color="auto"/>
      </w:divBdr>
      <w:divsChild>
        <w:div w:id="1392461353">
          <w:marLeft w:val="0"/>
          <w:marRight w:val="0"/>
          <w:marTop w:val="0"/>
          <w:marBottom w:val="0"/>
          <w:divBdr>
            <w:top w:val="none" w:sz="0" w:space="0" w:color="auto"/>
            <w:left w:val="none" w:sz="0" w:space="0" w:color="auto"/>
            <w:bottom w:val="none" w:sz="0" w:space="0" w:color="auto"/>
            <w:right w:val="none" w:sz="0" w:space="0" w:color="auto"/>
          </w:divBdr>
          <w:divsChild>
            <w:div w:id="1276715703">
              <w:marLeft w:val="0"/>
              <w:marRight w:val="0"/>
              <w:marTop w:val="0"/>
              <w:marBottom w:val="0"/>
              <w:divBdr>
                <w:top w:val="none" w:sz="0" w:space="0" w:color="auto"/>
                <w:left w:val="none" w:sz="0" w:space="0" w:color="auto"/>
                <w:bottom w:val="none" w:sz="0" w:space="0" w:color="auto"/>
                <w:right w:val="none" w:sz="0" w:space="0" w:color="auto"/>
              </w:divBdr>
              <w:divsChild>
                <w:div w:id="1850027186">
                  <w:marLeft w:val="0"/>
                  <w:marRight w:val="0"/>
                  <w:marTop w:val="0"/>
                  <w:marBottom w:val="0"/>
                  <w:divBdr>
                    <w:top w:val="none" w:sz="0" w:space="0" w:color="auto"/>
                    <w:left w:val="none" w:sz="0" w:space="0" w:color="auto"/>
                    <w:bottom w:val="none" w:sz="0" w:space="0" w:color="auto"/>
                    <w:right w:val="none" w:sz="0" w:space="0" w:color="auto"/>
                  </w:divBdr>
                  <w:divsChild>
                    <w:div w:id="51931967">
                      <w:marLeft w:val="0"/>
                      <w:marRight w:val="0"/>
                      <w:marTop w:val="0"/>
                      <w:marBottom w:val="0"/>
                      <w:divBdr>
                        <w:top w:val="none" w:sz="0" w:space="0" w:color="auto"/>
                        <w:left w:val="none" w:sz="0" w:space="0" w:color="auto"/>
                        <w:bottom w:val="none" w:sz="0" w:space="0" w:color="auto"/>
                        <w:right w:val="none" w:sz="0" w:space="0" w:color="auto"/>
                      </w:divBdr>
                      <w:divsChild>
                        <w:div w:id="1289243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7800570">
      <w:bodyDiv w:val="1"/>
      <w:marLeft w:val="0"/>
      <w:marRight w:val="0"/>
      <w:marTop w:val="0"/>
      <w:marBottom w:val="0"/>
      <w:divBdr>
        <w:top w:val="none" w:sz="0" w:space="0" w:color="auto"/>
        <w:left w:val="none" w:sz="0" w:space="0" w:color="auto"/>
        <w:bottom w:val="none" w:sz="0" w:space="0" w:color="auto"/>
        <w:right w:val="none" w:sz="0" w:space="0" w:color="auto"/>
      </w:divBdr>
      <w:divsChild>
        <w:div w:id="1397120225">
          <w:marLeft w:val="0"/>
          <w:marRight w:val="0"/>
          <w:marTop w:val="0"/>
          <w:marBottom w:val="0"/>
          <w:divBdr>
            <w:top w:val="none" w:sz="0" w:space="0" w:color="auto"/>
            <w:left w:val="none" w:sz="0" w:space="0" w:color="auto"/>
            <w:bottom w:val="none" w:sz="0" w:space="0" w:color="auto"/>
            <w:right w:val="none" w:sz="0" w:space="0" w:color="auto"/>
          </w:divBdr>
          <w:divsChild>
            <w:div w:id="1685982625">
              <w:marLeft w:val="0"/>
              <w:marRight w:val="0"/>
              <w:marTop w:val="0"/>
              <w:marBottom w:val="0"/>
              <w:divBdr>
                <w:top w:val="none" w:sz="0" w:space="0" w:color="auto"/>
                <w:left w:val="none" w:sz="0" w:space="0" w:color="auto"/>
                <w:bottom w:val="none" w:sz="0" w:space="0" w:color="auto"/>
                <w:right w:val="none" w:sz="0" w:space="0" w:color="auto"/>
              </w:divBdr>
              <w:divsChild>
                <w:div w:id="1328438271">
                  <w:marLeft w:val="0"/>
                  <w:marRight w:val="0"/>
                  <w:marTop w:val="0"/>
                  <w:marBottom w:val="0"/>
                  <w:divBdr>
                    <w:top w:val="none" w:sz="0" w:space="0" w:color="auto"/>
                    <w:left w:val="none" w:sz="0" w:space="0" w:color="auto"/>
                    <w:bottom w:val="none" w:sz="0" w:space="0" w:color="auto"/>
                    <w:right w:val="none" w:sz="0" w:space="0" w:color="auto"/>
                  </w:divBdr>
                  <w:divsChild>
                    <w:div w:id="848832310">
                      <w:marLeft w:val="0"/>
                      <w:marRight w:val="0"/>
                      <w:marTop w:val="0"/>
                      <w:marBottom w:val="0"/>
                      <w:divBdr>
                        <w:top w:val="none" w:sz="0" w:space="0" w:color="auto"/>
                        <w:left w:val="none" w:sz="0" w:space="0" w:color="auto"/>
                        <w:bottom w:val="none" w:sz="0" w:space="0" w:color="auto"/>
                        <w:right w:val="none" w:sz="0" w:space="0" w:color="auto"/>
                      </w:divBdr>
                      <w:divsChild>
                        <w:div w:id="1319458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4024849">
      <w:bodyDiv w:val="1"/>
      <w:marLeft w:val="0"/>
      <w:marRight w:val="0"/>
      <w:marTop w:val="0"/>
      <w:marBottom w:val="0"/>
      <w:divBdr>
        <w:top w:val="none" w:sz="0" w:space="0" w:color="auto"/>
        <w:left w:val="none" w:sz="0" w:space="0" w:color="auto"/>
        <w:bottom w:val="none" w:sz="0" w:space="0" w:color="auto"/>
        <w:right w:val="none" w:sz="0" w:space="0" w:color="auto"/>
      </w:divBdr>
    </w:div>
    <w:div w:id="1195384535">
      <w:bodyDiv w:val="1"/>
      <w:marLeft w:val="0"/>
      <w:marRight w:val="0"/>
      <w:marTop w:val="0"/>
      <w:marBottom w:val="0"/>
      <w:divBdr>
        <w:top w:val="none" w:sz="0" w:space="0" w:color="auto"/>
        <w:left w:val="none" w:sz="0" w:space="0" w:color="auto"/>
        <w:bottom w:val="none" w:sz="0" w:space="0" w:color="auto"/>
        <w:right w:val="none" w:sz="0" w:space="0" w:color="auto"/>
      </w:divBdr>
      <w:divsChild>
        <w:div w:id="74399650">
          <w:marLeft w:val="0"/>
          <w:marRight w:val="0"/>
          <w:marTop w:val="0"/>
          <w:marBottom w:val="0"/>
          <w:divBdr>
            <w:top w:val="none" w:sz="0" w:space="0" w:color="auto"/>
            <w:left w:val="none" w:sz="0" w:space="0" w:color="auto"/>
            <w:bottom w:val="none" w:sz="0" w:space="0" w:color="auto"/>
            <w:right w:val="none" w:sz="0" w:space="0" w:color="auto"/>
          </w:divBdr>
          <w:divsChild>
            <w:div w:id="125202890">
              <w:marLeft w:val="0"/>
              <w:marRight w:val="0"/>
              <w:marTop w:val="0"/>
              <w:marBottom w:val="0"/>
              <w:divBdr>
                <w:top w:val="none" w:sz="0" w:space="0" w:color="auto"/>
                <w:left w:val="none" w:sz="0" w:space="0" w:color="auto"/>
                <w:bottom w:val="none" w:sz="0" w:space="0" w:color="auto"/>
                <w:right w:val="none" w:sz="0" w:space="0" w:color="auto"/>
              </w:divBdr>
              <w:divsChild>
                <w:div w:id="1226794161">
                  <w:marLeft w:val="0"/>
                  <w:marRight w:val="0"/>
                  <w:marTop w:val="0"/>
                  <w:marBottom w:val="0"/>
                  <w:divBdr>
                    <w:top w:val="none" w:sz="0" w:space="0" w:color="auto"/>
                    <w:left w:val="none" w:sz="0" w:space="0" w:color="auto"/>
                    <w:bottom w:val="none" w:sz="0" w:space="0" w:color="auto"/>
                    <w:right w:val="none" w:sz="0" w:space="0" w:color="auto"/>
                  </w:divBdr>
                  <w:divsChild>
                    <w:div w:id="1047679727">
                      <w:marLeft w:val="0"/>
                      <w:marRight w:val="0"/>
                      <w:marTop w:val="0"/>
                      <w:marBottom w:val="0"/>
                      <w:divBdr>
                        <w:top w:val="none" w:sz="0" w:space="0" w:color="auto"/>
                        <w:left w:val="none" w:sz="0" w:space="0" w:color="auto"/>
                        <w:bottom w:val="none" w:sz="0" w:space="0" w:color="auto"/>
                        <w:right w:val="none" w:sz="0" w:space="0" w:color="auto"/>
                      </w:divBdr>
                      <w:divsChild>
                        <w:div w:id="2000570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0388880">
      <w:bodyDiv w:val="1"/>
      <w:marLeft w:val="0"/>
      <w:marRight w:val="0"/>
      <w:marTop w:val="0"/>
      <w:marBottom w:val="0"/>
      <w:divBdr>
        <w:top w:val="none" w:sz="0" w:space="0" w:color="auto"/>
        <w:left w:val="none" w:sz="0" w:space="0" w:color="auto"/>
        <w:bottom w:val="none" w:sz="0" w:space="0" w:color="auto"/>
        <w:right w:val="none" w:sz="0" w:space="0" w:color="auto"/>
      </w:divBdr>
    </w:div>
    <w:div w:id="1253707460">
      <w:bodyDiv w:val="1"/>
      <w:marLeft w:val="0"/>
      <w:marRight w:val="0"/>
      <w:marTop w:val="0"/>
      <w:marBottom w:val="0"/>
      <w:divBdr>
        <w:top w:val="none" w:sz="0" w:space="0" w:color="auto"/>
        <w:left w:val="none" w:sz="0" w:space="0" w:color="auto"/>
        <w:bottom w:val="none" w:sz="0" w:space="0" w:color="auto"/>
        <w:right w:val="none" w:sz="0" w:space="0" w:color="auto"/>
      </w:divBdr>
    </w:div>
    <w:div w:id="1371807568">
      <w:bodyDiv w:val="1"/>
      <w:marLeft w:val="0"/>
      <w:marRight w:val="0"/>
      <w:marTop w:val="0"/>
      <w:marBottom w:val="0"/>
      <w:divBdr>
        <w:top w:val="none" w:sz="0" w:space="0" w:color="auto"/>
        <w:left w:val="none" w:sz="0" w:space="0" w:color="auto"/>
        <w:bottom w:val="none" w:sz="0" w:space="0" w:color="auto"/>
        <w:right w:val="none" w:sz="0" w:space="0" w:color="auto"/>
      </w:divBdr>
    </w:div>
    <w:div w:id="1395355059">
      <w:bodyDiv w:val="1"/>
      <w:marLeft w:val="0"/>
      <w:marRight w:val="0"/>
      <w:marTop w:val="0"/>
      <w:marBottom w:val="0"/>
      <w:divBdr>
        <w:top w:val="none" w:sz="0" w:space="0" w:color="auto"/>
        <w:left w:val="none" w:sz="0" w:space="0" w:color="auto"/>
        <w:bottom w:val="none" w:sz="0" w:space="0" w:color="auto"/>
        <w:right w:val="none" w:sz="0" w:space="0" w:color="auto"/>
      </w:divBdr>
      <w:divsChild>
        <w:div w:id="61997245">
          <w:marLeft w:val="0"/>
          <w:marRight w:val="0"/>
          <w:marTop w:val="0"/>
          <w:marBottom w:val="0"/>
          <w:divBdr>
            <w:top w:val="none" w:sz="0" w:space="0" w:color="auto"/>
            <w:left w:val="none" w:sz="0" w:space="0" w:color="auto"/>
            <w:bottom w:val="none" w:sz="0" w:space="0" w:color="auto"/>
            <w:right w:val="none" w:sz="0" w:space="0" w:color="auto"/>
          </w:divBdr>
          <w:divsChild>
            <w:div w:id="1954944579">
              <w:marLeft w:val="0"/>
              <w:marRight w:val="0"/>
              <w:marTop w:val="0"/>
              <w:marBottom w:val="0"/>
              <w:divBdr>
                <w:top w:val="none" w:sz="0" w:space="0" w:color="auto"/>
                <w:left w:val="none" w:sz="0" w:space="0" w:color="auto"/>
                <w:bottom w:val="none" w:sz="0" w:space="0" w:color="auto"/>
                <w:right w:val="none" w:sz="0" w:space="0" w:color="auto"/>
              </w:divBdr>
              <w:divsChild>
                <w:div w:id="554854617">
                  <w:marLeft w:val="0"/>
                  <w:marRight w:val="0"/>
                  <w:marTop w:val="0"/>
                  <w:marBottom w:val="0"/>
                  <w:divBdr>
                    <w:top w:val="none" w:sz="0" w:space="0" w:color="auto"/>
                    <w:left w:val="none" w:sz="0" w:space="0" w:color="auto"/>
                    <w:bottom w:val="none" w:sz="0" w:space="0" w:color="auto"/>
                    <w:right w:val="none" w:sz="0" w:space="0" w:color="auto"/>
                  </w:divBdr>
                  <w:divsChild>
                    <w:div w:id="131751003">
                      <w:marLeft w:val="0"/>
                      <w:marRight w:val="0"/>
                      <w:marTop w:val="0"/>
                      <w:marBottom w:val="0"/>
                      <w:divBdr>
                        <w:top w:val="none" w:sz="0" w:space="0" w:color="auto"/>
                        <w:left w:val="none" w:sz="0" w:space="0" w:color="auto"/>
                        <w:bottom w:val="none" w:sz="0" w:space="0" w:color="auto"/>
                        <w:right w:val="none" w:sz="0" w:space="0" w:color="auto"/>
                      </w:divBdr>
                      <w:divsChild>
                        <w:div w:id="115102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6241887">
      <w:bodyDiv w:val="1"/>
      <w:marLeft w:val="0"/>
      <w:marRight w:val="0"/>
      <w:marTop w:val="0"/>
      <w:marBottom w:val="0"/>
      <w:divBdr>
        <w:top w:val="none" w:sz="0" w:space="0" w:color="auto"/>
        <w:left w:val="none" w:sz="0" w:space="0" w:color="auto"/>
        <w:bottom w:val="none" w:sz="0" w:space="0" w:color="auto"/>
        <w:right w:val="none" w:sz="0" w:space="0" w:color="auto"/>
      </w:divBdr>
      <w:divsChild>
        <w:div w:id="1841962378">
          <w:marLeft w:val="0"/>
          <w:marRight w:val="0"/>
          <w:marTop w:val="0"/>
          <w:marBottom w:val="0"/>
          <w:divBdr>
            <w:top w:val="none" w:sz="0" w:space="0" w:color="auto"/>
            <w:left w:val="none" w:sz="0" w:space="0" w:color="auto"/>
            <w:bottom w:val="none" w:sz="0" w:space="0" w:color="auto"/>
            <w:right w:val="none" w:sz="0" w:space="0" w:color="auto"/>
          </w:divBdr>
          <w:divsChild>
            <w:div w:id="1646472435">
              <w:marLeft w:val="0"/>
              <w:marRight w:val="0"/>
              <w:marTop w:val="0"/>
              <w:marBottom w:val="0"/>
              <w:divBdr>
                <w:top w:val="none" w:sz="0" w:space="0" w:color="auto"/>
                <w:left w:val="none" w:sz="0" w:space="0" w:color="auto"/>
                <w:bottom w:val="none" w:sz="0" w:space="0" w:color="auto"/>
                <w:right w:val="none" w:sz="0" w:space="0" w:color="auto"/>
              </w:divBdr>
              <w:divsChild>
                <w:div w:id="971440501">
                  <w:marLeft w:val="0"/>
                  <w:marRight w:val="0"/>
                  <w:marTop w:val="0"/>
                  <w:marBottom w:val="0"/>
                  <w:divBdr>
                    <w:top w:val="none" w:sz="0" w:space="0" w:color="auto"/>
                    <w:left w:val="none" w:sz="0" w:space="0" w:color="auto"/>
                    <w:bottom w:val="none" w:sz="0" w:space="0" w:color="auto"/>
                    <w:right w:val="none" w:sz="0" w:space="0" w:color="auto"/>
                  </w:divBdr>
                  <w:divsChild>
                    <w:div w:id="226889400">
                      <w:marLeft w:val="0"/>
                      <w:marRight w:val="0"/>
                      <w:marTop w:val="0"/>
                      <w:marBottom w:val="0"/>
                      <w:divBdr>
                        <w:top w:val="none" w:sz="0" w:space="0" w:color="auto"/>
                        <w:left w:val="none" w:sz="0" w:space="0" w:color="auto"/>
                        <w:bottom w:val="none" w:sz="0" w:space="0" w:color="auto"/>
                        <w:right w:val="none" w:sz="0" w:space="0" w:color="auto"/>
                      </w:divBdr>
                      <w:divsChild>
                        <w:div w:id="123832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9996293">
      <w:bodyDiv w:val="1"/>
      <w:marLeft w:val="0"/>
      <w:marRight w:val="0"/>
      <w:marTop w:val="0"/>
      <w:marBottom w:val="0"/>
      <w:divBdr>
        <w:top w:val="none" w:sz="0" w:space="0" w:color="auto"/>
        <w:left w:val="none" w:sz="0" w:space="0" w:color="auto"/>
        <w:bottom w:val="none" w:sz="0" w:space="0" w:color="auto"/>
        <w:right w:val="none" w:sz="0" w:space="0" w:color="auto"/>
      </w:divBdr>
    </w:div>
    <w:div w:id="1625043550">
      <w:bodyDiv w:val="1"/>
      <w:marLeft w:val="0"/>
      <w:marRight w:val="0"/>
      <w:marTop w:val="0"/>
      <w:marBottom w:val="0"/>
      <w:divBdr>
        <w:top w:val="none" w:sz="0" w:space="0" w:color="auto"/>
        <w:left w:val="none" w:sz="0" w:space="0" w:color="auto"/>
        <w:bottom w:val="none" w:sz="0" w:space="0" w:color="auto"/>
        <w:right w:val="none" w:sz="0" w:space="0" w:color="auto"/>
      </w:divBdr>
    </w:div>
    <w:div w:id="1900902407">
      <w:bodyDiv w:val="1"/>
      <w:marLeft w:val="0"/>
      <w:marRight w:val="0"/>
      <w:marTop w:val="0"/>
      <w:marBottom w:val="0"/>
      <w:divBdr>
        <w:top w:val="none" w:sz="0" w:space="0" w:color="auto"/>
        <w:left w:val="none" w:sz="0" w:space="0" w:color="auto"/>
        <w:bottom w:val="none" w:sz="0" w:space="0" w:color="auto"/>
        <w:right w:val="none" w:sz="0" w:space="0" w:color="auto"/>
      </w:divBdr>
    </w:div>
    <w:div w:id="1930768119">
      <w:bodyDiv w:val="1"/>
      <w:marLeft w:val="0"/>
      <w:marRight w:val="0"/>
      <w:marTop w:val="0"/>
      <w:marBottom w:val="0"/>
      <w:divBdr>
        <w:top w:val="none" w:sz="0" w:space="0" w:color="auto"/>
        <w:left w:val="none" w:sz="0" w:space="0" w:color="auto"/>
        <w:bottom w:val="none" w:sz="0" w:space="0" w:color="auto"/>
        <w:right w:val="none" w:sz="0" w:space="0" w:color="auto"/>
      </w:divBdr>
    </w:div>
    <w:div w:id="1993827145">
      <w:bodyDiv w:val="1"/>
      <w:marLeft w:val="0"/>
      <w:marRight w:val="0"/>
      <w:marTop w:val="0"/>
      <w:marBottom w:val="0"/>
      <w:divBdr>
        <w:top w:val="none" w:sz="0" w:space="0" w:color="auto"/>
        <w:left w:val="none" w:sz="0" w:space="0" w:color="auto"/>
        <w:bottom w:val="none" w:sz="0" w:space="0" w:color="auto"/>
        <w:right w:val="none" w:sz="0" w:space="0" w:color="auto"/>
      </w:divBdr>
    </w:div>
    <w:div w:id="2095853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cid:image003.gif@01CD0689.E4AF6AC0" TargetMode="External"/><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2.gif"/><Relationship Id="rId12" Type="http://schemas.openxmlformats.org/officeDocument/2006/relationships/image" Target="media/image6.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gif"/><Relationship Id="rId14" Type="http://schemas.openxmlformats.org/officeDocument/2006/relationships/image" Target="cid:image012.jpg@01D3D315.3D892B50"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92404B0B.dotm</Template>
  <TotalTime>4</TotalTime>
  <Pages>2</Pages>
  <Words>559</Words>
  <Characters>3212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Government of Canada / Gouvernement du Canada</Company>
  <LinksUpToDate>false</LinksUpToDate>
  <CharactersWithSpaces>3764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Woods, Catherine</dc:creator>
  <cp:lastModifiedBy>Elkington, Julianne</cp:lastModifiedBy>
  <cp:revision>3</cp:revision>
  <cp:lastPrinted>2019-07-02T14:49:00Z</cp:lastPrinted>
  <dcterms:created xsi:type="dcterms:W3CDTF">2019-07-02T19:26:00Z</dcterms:created>
  <dcterms:modified xsi:type="dcterms:W3CDTF">2019-07-04T14:02:00Z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unPrepV5.0.1">
    <vt:lpwstr>7/2/2019 12:30:12 PM</vt:lpwstr>
  </property>
</Properties>
</file>